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F766E" w14:textId="218119F9" w:rsidR="00DE095E" w:rsidRPr="00881647" w:rsidRDefault="00DE095E" w:rsidP="00DE095E">
      <w:pPr>
        <w:shd w:val="clear" w:color="auto" w:fill="EEECE1"/>
        <w:jc w:val="center"/>
        <w:rPr>
          <w:rFonts w:ascii="Tw Cen MT" w:hAnsi="Tw Cen MT"/>
          <w:b/>
          <w:caps/>
          <w:sz w:val="48"/>
          <w:szCs w:val="48"/>
        </w:rPr>
      </w:pPr>
      <w:r w:rsidRPr="00881647">
        <w:rPr>
          <w:rFonts w:ascii="Tw Cen MT" w:hAnsi="Tw Cen MT"/>
          <w:b/>
          <w:caps/>
          <w:sz w:val="48"/>
          <w:szCs w:val="48"/>
        </w:rPr>
        <w:t>J</w:t>
      </w:r>
      <w:r w:rsidR="00861F76">
        <w:rPr>
          <w:rFonts w:ascii="Tw Cen MT" w:hAnsi="Tw Cen MT"/>
          <w:b/>
          <w:caps/>
          <w:sz w:val="48"/>
          <w:szCs w:val="48"/>
        </w:rPr>
        <w:t>.</w:t>
      </w:r>
      <w:r w:rsidRPr="00881647">
        <w:rPr>
          <w:rFonts w:ascii="Tw Cen MT" w:hAnsi="Tw Cen MT"/>
          <w:b/>
          <w:caps/>
          <w:sz w:val="48"/>
          <w:szCs w:val="48"/>
        </w:rPr>
        <w:t xml:space="preserve"> E. Tabora</w:t>
      </w:r>
    </w:p>
    <w:p w14:paraId="4A2F766F" w14:textId="77777777" w:rsidR="00DE095E" w:rsidRPr="00881647" w:rsidRDefault="00DE095E" w:rsidP="00DE095E">
      <w:pPr>
        <w:jc w:val="center"/>
        <w:rPr>
          <w:rFonts w:ascii="Tw Cen MT" w:hAnsi="Tw Cen MT"/>
          <w:sz w:val="20"/>
        </w:rPr>
      </w:pPr>
      <w:r w:rsidRPr="00881647">
        <w:rPr>
          <w:rFonts w:ascii="Tw Cen MT" w:hAnsi="Tw Cen MT"/>
          <w:sz w:val="20"/>
        </w:rPr>
        <w:t xml:space="preserve">| 845-793-0220 | </w:t>
      </w:r>
      <w:hyperlink r:id="rId10" w:history="1">
        <w:r w:rsidRPr="00881647">
          <w:rPr>
            <w:rStyle w:val="Hyperlink"/>
            <w:rFonts w:ascii="Tw Cen MT" w:hAnsi="Tw Cen MT"/>
            <w:sz w:val="20"/>
          </w:rPr>
          <w:t>jose.tabora@bms.com</w:t>
        </w:r>
      </w:hyperlink>
    </w:p>
    <w:p w14:paraId="4A2F7671" w14:textId="77777777" w:rsidR="00DE095E" w:rsidRPr="00881647" w:rsidRDefault="00DE095E" w:rsidP="00DE095E">
      <w:pPr>
        <w:pBdr>
          <w:top w:val="single" w:sz="4" w:space="3" w:color="auto"/>
        </w:pBdr>
        <w:rPr>
          <w:rFonts w:ascii="Tw Cen MT" w:hAnsi="Tw Cen MT"/>
          <w:b/>
          <w:caps/>
          <w:sz w:val="24"/>
          <w:szCs w:val="26"/>
        </w:rPr>
      </w:pPr>
      <w:r w:rsidRPr="00881647">
        <w:rPr>
          <w:rFonts w:ascii="Tw Cen MT" w:hAnsi="Tw Cen MT"/>
          <w:b/>
          <w:caps/>
          <w:sz w:val="24"/>
          <w:szCs w:val="26"/>
        </w:rPr>
        <w:t>Professional Experience</w:t>
      </w:r>
    </w:p>
    <w:p w14:paraId="4A2F7672" w14:textId="24B1F138" w:rsidR="00DE095E" w:rsidRPr="00881647" w:rsidRDefault="00DE095E" w:rsidP="00DE095E">
      <w:pPr>
        <w:rPr>
          <w:rFonts w:ascii="Tw Cen MT" w:hAnsi="Tw Cen MT"/>
          <w:sz w:val="20"/>
        </w:rPr>
      </w:pPr>
      <w:r w:rsidRPr="00881647">
        <w:rPr>
          <w:rFonts w:ascii="Tw Cen MT" w:hAnsi="Tw Cen MT"/>
          <w:sz w:val="20"/>
          <w:u w:val="single"/>
        </w:rPr>
        <w:t>Bristol Myers Squibb, Research &amp; Development</w:t>
      </w:r>
      <w:r w:rsidRPr="00881647">
        <w:rPr>
          <w:rFonts w:ascii="Tw Cen MT" w:hAnsi="Tw Cen MT"/>
          <w:sz w:val="20"/>
        </w:rPr>
        <w:tab/>
      </w:r>
      <w:r w:rsidRPr="00881647">
        <w:rPr>
          <w:rFonts w:ascii="Tw Cen MT" w:hAnsi="Tw Cen MT"/>
          <w:sz w:val="20"/>
        </w:rPr>
        <w:tab/>
      </w:r>
      <w:r w:rsidR="004C22D8">
        <w:rPr>
          <w:rFonts w:ascii="Tw Cen MT" w:hAnsi="Tw Cen MT"/>
          <w:sz w:val="20"/>
        </w:rPr>
        <w:tab/>
      </w:r>
      <w:r w:rsidRPr="00881647">
        <w:rPr>
          <w:rFonts w:ascii="Tw Cen MT" w:hAnsi="Tw Cen MT"/>
          <w:sz w:val="20"/>
        </w:rPr>
        <w:t>New Brunswick, NJ</w:t>
      </w:r>
    </w:p>
    <w:p w14:paraId="770DC5A7" w14:textId="6D6AD866" w:rsidR="00F831B0" w:rsidRPr="00881647" w:rsidRDefault="00F831B0" w:rsidP="00DE095E">
      <w:pPr>
        <w:spacing w:before="20"/>
        <w:rPr>
          <w:rFonts w:ascii="Tw Cen MT" w:hAnsi="Tw Cen MT"/>
          <w:b/>
          <w:sz w:val="20"/>
        </w:rPr>
      </w:pPr>
      <w:r>
        <w:rPr>
          <w:rFonts w:ascii="Tw Cen MT" w:hAnsi="Tw Cen MT"/>
          <w:b/>
          <w:sz w:val="20"/>
        </w:rPr>
        <w:t>Senior Scientific Director</w:t>
      </w:r>
      <w:r w:rsidR="00DE095E" w:rsidRPr="00881647">
        <w:rPr>
          <w:rFonts w:ascii="Tw Cen MT" w:hAnsi="Tw Cen MT"/>
          <w:b/>
          <w:sz w:val="20"/>
        </w:rPr>
        <w:tab/>
      </w:r>
      <w:r w:rsidR="00DE095E" w:rsidRPr="00881647">
        <w:rPr>
          <w:rFonts w:ascii="Tw Cen MT" w:hAnsi="Tw Cen MT"/>
          <w:b/>
          <w:sz w:val="20"/>
        </w:rPr>
        <w:tab/>
      </w:r>
      <w:r w:rsidR="0052126E">
        <w:rPr>
          <w:rFonts w:ascii="Tw Cen MT" w:hAnsi="Tw Cen MT"/>
          <w:b/>
          <w:sz w:val="20"/>
        </w:rPr>
        <w:tab/>
      </w:r>
      <w:r w:rsidR="00DE095E" w:rsidRPr="00881647">
        <w:rPr>
          <w:rFonts w:ascii="Tw Cen MT" w:hAnsi="Tw Cen MT"/>
          <w:b/>
          <w:sz w:val="20"/>
        </w:rPr>
        <w:t>04/2012 – Present</w:t>
      </w:r>
    </w:p>
    <w:p w14:paraId="4A2F7674" w14:textId="36FCAF5A" w:rsidR="00DE095E" w:rsidRDefault="00DE095E" w:rsidP="00DE095E">
      <w:pPr>
        <w:spacing w:before="20"/>
        <w:rPr>
          <w:rFonts w:ascii="Tw Cen MT" w:hAnsi="Tw Cen MT"/>
          <w:sz w:val="20"/>
        </w:rPr>
      </w:pPr>
      <w:r w:rsidRPr="00881647">
        <w:rPr>
          <w:rFonts w:ascii="Tw Cen MT" w:hAnsi="Tw Cen MT"/>
          <w:sz w:val="20"/>
        </w:rPr>
        <w:t xml:space="preserve">Provided leadership to promote onboarding of new technologies that improve data management and integration to mathematical models to increase process knowledge.  Specifically, tools which increase computational power, development of models, publication of models, and ensure reproducible research. </w:t>
      </w:r>
    </w:p>
    <w:p w14:paraId="16DFD18F" w14:textId="5DA99FA5" w:rsidR="00F831B0" w:rsidRPr="00F831B0" w:rsidRDefault="00273B69" w:rsidP="00F831B0">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Pr>
          <w:rFonts w:ascii="Tw Cen MT" w:hAnsi="Tw Cen MT"/>
          <w:sz w:val="20"/>
        </w:rPr>
        <w:t xml:space="preserve">Lead a multidisciplinary team withing the Chemical Synthetic Development organization to develop a broad strategy to </w:t>
      </w:r>
      <w:r w:rsidR="0082004F">
        <w:rPr>
          <w:rFonts w:ascii="Tw Cen MT" w:hAnsi="Tw Cen MT"/>
          <w:sz w:val="20"/>
        </w:rPr>
        <w:t>increase the adoption of</w:t>
      </w:r>
      <w:r>
        <w:rPr>
          <w:rFonts w:ascii="Tw Cen MT" w:hAnsi="Tw Cen MT"/>
          <w:sz w:val="20"/>
        </w:rPr>
        <w:t xml:space="preserve"> digital data management and data science </w:t>
      </w:r>
      <w:r w:rsidR="0082004F">
        <w:rPr>
          <w:rFonts w:ascii="Tw Cen MT" w:hAnsi="Tw Cen MT"/>
          <w:sz w:val="20"/>
        </w:rPr>
        <w:t>capabilities towards increasing experimental efficiency and data-informed decision making</w:t>
      </w:r>
      <w:r w:rsidR="00F831B0">
        <w:rPr>
          <w:rFonts w:ascii="Tw Cen MT" w:hAnsi="Tw Cen MT"/>
          <w:sz w:val="20"/>
        </w:rPr>
        <w:t>.</w:t>
      </w:r>
    </w:p>
    <w:p w14:paraId="2E5104D5" w14:textId="1011CDF0" w:rsidR="00BD39F9" w:rsidRDefault="00CA2F14"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Pr>
          <w:rFonts w:ascii="Tw Cen MT" w:hAnsi="Tw Cen MT"/>
          <w:sz w:val="20"/>
        </w:rPr>
        <w:t>In alignment with a broad divisional strategy to increase deployment of Data Science, d</w:t>
      </w:r>
      <w:r w:rsidR="00BD39F9">
        <w:rPr>
          <w:rFonts w:ascii="Tw Cen MT" w:hAnsi="Tw Cen MT"/>
          <w:sz w:val="20"/>
        </w:rPr>
        <w:t xml:space="preserve">rove the development of </w:t>
      </w:r>
      <w:r w:rsidR="008E7700">
        <w:rPr>
          <w:rFonts w:ascii="Tw Cen MT" w:hAnsi="Tw Cen MT"/>
          <w:sz w:val="20"/>
        </w:rPr>
        <w:t xml:space="preserve">data management tools to </w:t>
      </w:r>
      <w:r w:rsidR="002C15FA">
        <w:rPr>
          <w:rFonts w:ascii="Tw Cen MT" w:hAnsi="Tw Cen MT"/>
          <w:sz w:val="20"/>
        </w:rPr>
        <w:t>ensure seamless distribution of digital data to reproducible predictive analytics workflows.</w:t>
      </w:r>
    </w:p>
    <w:p w14:paraId="3F91FE56" w14:textId="54ECAE24" w:rsidR="008E7700" w:rsidRDefault="008E7700"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Pr>
          <w:rFonts w:ascii="Tw Cen MT" w:hAnsi="Tw Cen MT"/>
          <w:sz w:val="20"/>
        </w:rPr>
        <w:t xml:space="preserve">With the AIChE TDOC group implemented </w:t>
      </w:r>
      <w:r w:rsidR="00C606D0">
        <w:rPr>
          <w:rFonts w:ascii="Tw Cen MT" w:hAnsi="Tw Cen MT"/>
          <w:sz w:val="20"/>
        </w:rPr>
        <w:t>Natural</w:t>
      </w:r>
      <w:r>
        <w:rPr>
          <w:rFonts w:ascii="Tw Cen MT" w:hAnsi="Tw Cen MT"/>
          <w:sz w:val="20"/>
        </w:rPr>
        <w:t xml:space="preserve"> Language Processing</w:t>
      </w:r>
      <w:r w:rsidR="00C606D0">
        <w:rPr>
          <w:rFonts w:ascii="Tw Cen MT" w:hAnsi="Tw Cen MT"/>
          <w:sz w:val="20"/>
        </w:rPr>
        <w:t xml:space="preserve"> (Topic Modeling)</w:t>
      </w:r>
      <w:r w:rsidR="00CA2F14">
        <w:rPr>
          <w:rFonts w:ascii="Tw Cen MT" w:hAnsi="Tw Cen MT"/>
          <w:sz w:val="20"/>
        </w:rPr>
        <w:t xml:space="preserve"> to identify similarities in presentation abstract content across session and divisions.</w:t>
      </w:r>
    </w:p>
    <w:p w14:paraId="4A2F7675" w14:textId="0F2C70CF"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 xml:space="preserve">As part of the Enabling Technology Consortium </w:t>
      </w:r>
      <w:r w:rsidR="001E78BB">
        <w:rPr>
          <w:rFonts w:ascii="Tw Cen MT" w:hAnsi="Tw Cen MT"/>
          <w:sz w:val="20"/>
        </w:rPr>
        <w:t>drove the</w:t>
      </w:r>
      <w:r w:rsidRPr="00881647">
        <w:rPr>
          <w:rFonts w:ascii="Tw Cen MT" w:hAnsi="Tw Cen MT"/>
          <w:sz w:val="20"/>
        </w:rPr>
        <w:t xml:space="preserve"> collaboration with four pharmaceutical companies and a IT vendor to develop a pharma cloud computational platform aimed at improving development, integration and collaboration in the process modeling space.</w:t>
      </w:r>
    </w:p>
    <w:p w14:paraId="4A2F7676"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Led organizational strategy for predictive modeling support and deployment in pharmaceutical development identifying and addressing common gaps in different functional areas and leveraging cross-functional expertise to develop comprehensive training programs in the areas of modeling.  Defined strategies for software license acquisition, deployment, and management.</w:t>
      </w:r>
    </w:p>
    <w:p w14:paraId="4A2F7677"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 xml:space="preserve">Established processes that enabled the integration of Stan (Bayesian analysis software) statistical solutions as well as MATLAB and R to estimate process variability and process capability.  The established workflow resulted in a improved and more efficient estimation of process risk and estimation of process robustness and capability. </w:t>
      </w:r>
    </w:p>
    <w:p w14:paraId="4A2F7678" w14:textId="29339DCA"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Spearheaded the strategic deployment of computational platforms (EASA and DOMINO) to enable modeling distribution for pharmaceutical process development division. Increased model usage by general scientist community and enhanced effectiveness of communicating model results and ensure model maintenance.</w:t>
      </w:r>
    </w:p>
    <w:p w14:paraId="4A2F7679" w14:textId="65FC873F" w:rsidR="00DE095E"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Developed targeted models for the physical and chemical degradation kinetics of solid pharmaceuticals (Temp, RH, Light). Models were used to guide stability studies, set targets for levels of impurity qualification in toxicological studies and propose specification</w:t>
      </w:r>
      <w:r w:rsidR="00CA2F14">
        <w:rPr>
          <w:rFonts w:ascii="Tw Cen MT" w:hAnsi="Tw Cen MT"/>
          <w:sz w:val="20"/>
        </w:rPr>
        <w:t>s to health authorities and develop manufacturing, storage and packaging requirements to ensure DP/DS quality and stability.</w:t>
      </w:r>
    </w:p>
    <w:p w14:paraId="7D4ACC9B" w14:textId="612D2022" w:rsidR="00714630" w:rsidRPr="00881647" w:rsidRDefault="00714630"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Pr>
          <w:rFonts w:ascii="Tw Cen MT" w:hAnsi="Tw Cen MT"/>
          <w:sz w:val="20"/>
        </w:rPr>
        <w:t>Supported process optimization and characterization via development of models with Dynochem (reaction, crystallization), Matlab (Fluid Phase Equlibria, crystallization, solid-to-solid transformation kinetics, data visualization).</w:t>
      </w:r>
    </w:p>
    <w:p w14:paraId="4A2F767A"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 xml:space="preserve">Led cross-functional team assessing material property characterization for optimal drug substance and drug product development of a hydrate forming crystalline pharmaceutical ingredient. The team develop the control strategy to reliably produce and store drug substance to meet the formulation requirements and ensure material stability over </w:t>
      </w:r>
    </w:p>
    <w:p w14:paraId="4A2F767B"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Managed technical group supporting development and optimization of chemical processes for active pharmaceutical ingredients to ensure seamless transition to manufacturing.</w:t>
      </w:r>
    </w:p>
    <w:p w14:paraId="4A2F767C" w14:textId="46CC1A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Managed academic collaborations with MIT, University of Delaware, University of Illinois at Urbana–Champaign, and the Universi</w:t>
      </w:r>
      <w:r w:rsidR="0005079E">
        <w:rPr>
          <w:rFonts w:ascii="Tw Cen MT" w:hAnsi="Tw Cen MT"/>
          <w:sz w:val="20"/>
        </w:rPr>
        <w:t xml:space="preserve">ty of California, Santa Barbara primarily to </w:t>
      </w:r>
      <w:r w:rsidR="00BD39F9">
        <w:rPr>
          <w:rFonts w:ascii="Tw Cen MT" w:hAnsi="Tw Cen MT"/>
          <w:sz w:val="20"/>
        </w:rPr>
        <w:t>develop workflows and technology to improve development and understanding of crystallization processes</w:t>
      </w:r>
    </w:p>
    <w:p w14:paraId="4A2F767D" w14:textId="77777777" w:rsidR="00DE095E" w:rsidRPr="00881647" w:rsidRDefault="00DE095E" w:rsidP="00DE095E">
      <w:pPr>
        <w:rPr>
          <w:rFonts w:ascii="Tw Cen MT" w:hAnsi="Tw Cen MT"/>
          <w:sz w:val="20"/>
        </w:rPr>
      </w:pPr>
    </w:p>
    <w:p w14:paraId="4E6D45EE" w14:textId="77777777" w:rsidR="0005079E" w:rsidRPr="00881647" w:rsidRDefault="0005079E" w:rsidP="0005079E">
      <w:pPr>
        <w:spacing w:after="40"/>
        <w:rPr>
          <w:rFonts w:ascii="Tw Cen MT" w:hAnsi="Tw Cen MT"/>
          <w:sz w:val="20"/>
        </w:rPr>
      </w:pPr>
      <w:r>
        <w:rPr>
          <w:rFonts w:ascii="Tw Cen MT" w:hAnsi="Tw Cen MT"/>
          <w:sz w:val="20"/>
          <w:u w:val="single"/>
        </w:rPr>
        <w:t>Stevens Institute of Technology</w:t>
      </w:r>
      <w:r w:rsidRPr="00881647">
        <w:rPr>
          <w:rFonts w:ascii="Tw Cen MT" w:hAnsi="Tw Cen MT"/>
          <w:sz w:val="20"/>
        </w:rPr>
        <w:tab/>
      </w:r>
      <w:r w:rsidRPr="00881647">
        <w:rPr>
          <w:rFonts w:ascii="Tw Cen MT" w:hAnsi="Tw Cen MT"/>
          <w:sz w:val="20"/>
        </w:rPr>
        <w:tab/>
      </w:r>
      <w:r>
        <w:rPr>
          <w:rFonts w:ascii="Tw Cen MT" w:hAnsi="Tw Cen MT"/>
          <w:sz w:val="20"/>
        </w:rPr>
        <w:tab/>
      </w:r>
      <w:r>
        <w:rPr>
          <w:rFonts w:ascii="Tw Cen MT" w:hAnsi="Tw Cen MT"/>
          <w:sz w:val="20"/>
        </w:rPr>
        <w:tab/>
      </w:r>
      <w:r>
        <w:rPr>
          <w:rFonts w:ascii="Tw Cen MT" w:hAnsi="Tw Cen MT"/>
          <w:sz w:val="20"/>
        </w:rPr>
        <w:tab/>
        <w:t>Hoboken, NJ</w:t>
      </w:r>
    </w:p>
    <w:p w14:paraId="51209899" w14:textId="32B81C9D" w:rsidR="0005079E" w:rsidRPr="00881647" w:rsidRDefault="0005079E" w:rsidP="0005079E">
      <w:pPr>
        <w:spacing w:before="20"/>
        <w:rPr>
          <w:rFonts w:ascii="Tw Cen MT" w:hAnsi="Tw Cen MT"/>
          <w:b/>
          <w:sz w:val="20"/>
        </w:rPr>
      </w:pPr>
      <w:r w:rsidRPr="00881647">
        <w:rPr>
          <w:rFonts w:ascii="Tw Cen MT" w:hAnsi="Tw Cen MT"/>
          <w:b/>
          <w:sz w:val="20"/>
        </w:rPr>
        <w:t>Ass</w:t>
      </w:r>
      <w:r w:rsidR="0052126E">
        <w:rPr>
          <w:rFonts w:ascii="Tw Cen MT" w:hAnsi="Tw Cen MT"/>
          <w:b/>
          <w:sz w:val="20"/>
        </w:rPr>
        <w:t>ociate Adjunct Professor</w:t>
      </w:r>
      <w:r w:rsidR="0052126E">
        <w:rPr>
          <w:rFonts w:ascii="Tw Cen MT" w:hAnsi="Tw Cen MT"/>
          <w:b/>
          <w:sz w:val="20"/>
        </w:rPr>
        <w:tab/>
      </w:r>
      <w:r>
        <w:rPr>
          <w:rFonts w:ascii="Tw Cen MT" w:hAnsi="Tw Cen MT"/>
          <w:b/>
          <w:sz w:val="20"/>
        </w:rPr>
        <w:t>01/202</w:t>
      </w:r>
      <w:r w:rsidRPr="00881647">
        <w:rPr>
          <w:rFonts w:ascii="Tw Cen MT" w:hAnsi="Tw Cen MT"/>
          <w:b/>
          <w:sz w:val="20"/>
        </w:rPr>
        <w:t xml:space="preserve">0 – </w:t>
      </w:r>
      <w:r>
        <w:rPr>
          <w:rFonts w:ascii="Tw Cen MT" w:hAnsi="Tw Cen MT"/>
          <w:b/>
          <w:sz w:val="20"/>
        </w:rPr>
        <w:t>Present</w:t>
      </w:r>
    </w:p>
    <w:p w14:paraId="607330CA" w14:textId="3673ABE2" w:rsidR="00B2430D" w:rsidRDefault="0005079E" w:rsidP="0005079E">
      <w:pPr>
        <w:spacing w:before="20"/>
        <w:rPr>
          <w:rFonts w:ascii="Tw Cen MT" w:hAnsi="Tw Cen MT"/>
          <w:sz w:val="20"/>
        </w:rPr>
      </w:pPr>
      <w:r w:rsidRPr="00881647">
        <w:rPr>
          <w:rFonts w:ascii="Tw Cen MT" w:hAnsi="Tw Cen MT"/>
          <w:sz w:val="20"/>
        </w:rPr>
        <w:t>Instructed graduate-level reaction kinetics course. Maximized instructional impact by developing MATLAB scripts to simulate reaction network</w:t>
      </w:r>
      <w:r>
        <w:rPr>
          <w:rFonts w:ascii="Tw Cen MT" w:hAnsi="Tw Cen MT"/>
          <w:sz w:val="20"/>
        </w:rPr>
        <w:t>s</w:t>
      </w:r>
      <w:r w:rsidRPr="00881647">
        <w:rPr>
          <w:rFonts w:ascii="Tw Cen MT" w:hAnsi="Tw Cen MT"/>
          <w:sz w:val="20"/>
        </w:rPr>
        <w:t xml:space="preserve"> and reactor configurations. Introduced elements of statistical analysis</w:t>
      </w:r>
      <w:r>
        <w:rPr>
          <w:rFonts w:ascii="Tw Cen MT" w:hAnsi="Tw Cen MT"/>
          <w:sz w:val="20"/>
        </w:rPr>
        <w:t>, data visualization,</w:t>
      </w:r>
      <w:r w:rsidRPr="00881647">
        <w:rPr>
          <w:rFonts w:ascii="Tw Cen MT" w:hAnsi="Tw Cen MT"/>
          <w:sz w:val="20"/>
        </w:rPr>
        <w:t xml:space="preserve"> and Monte Carlo approaches for solutions of reaction networks.</w:t>
      </w:r>
      <w:r w:rsidR="00CA2F14">
        <w:rPr>
          <w:rFonts w:ascii="Tw Cen MT" w:hAnsi="Tw Cen MT"/>
          <w:sz w:val="20"/>
        </w:rPr>
        <w:t xml:space="preserve">  With the chairs </w:t>
      </w:r>
      <w:r w:rsidR="00861F76">
        <w:rPr>
          <w:rFonts w:ascii="Tw Cen MT" w:hAnsi="Tw Cen MT"/>
          <w:sz w:val="20"/>
        </w:rPr>
        <w:t>of</w:t>
      </w:r>
      <w:r w:rsidR="00CA2F14">
        <w:rPr>
          <w:rFonts w:ascii="Tw Cen MT" w:hAnsi="Tw Cen MT"/>
          <w:sz w:val="20"/>
        </w:rPr>
        <w:t xml:space="preserve"> the Mathematical Science and Materials and Chemical Engineering developed a 4-course certificate for Data Science and Machine Learning specific to Pharmaceutical Development applications.</w:t>
      </w:r>
    </w:p>
    <w:p w14:paraId="669B70B9" w14:textId="318F7ECC" w:rsidR="00340C4E" w:rsidRPr="00881647" w:rsidRDefault="00B2430D" w:rsidP="00B2430D">
      <w:pPr>
        <w:rPr>
          <w:rFonts w:ascii="Tw Cen MT" w:hAnsi="Tw Cen MT"/>
          <w:sz w:val="20"/>
        </w:rPr>
      </w:pPr>
      <w:r>
        <w:rPr>
          <w:rFonts w:ascii="Tw Cen MT" w:hAnsi="Tw Cen MT"/>
          <w:sz w:val="20"/>
        </w:rPr>
        <w:br w:type="page"/>
      </w:r>
      <w:r w:rsidR="00340C4E" w:rsidRPr="00881647">
        <w:rPr>
          <w:rFonts w:ascii="Tw Cen MT" w:hAnsi="Tw Cen MT"/>
          <w:sz w:val="20"/>
          <w:u w:val="single"/>
        </w:rPr>
        <w:lastRenderedPageBreak/>
        <w:t>Manhattan College</w:t>
      </w:r>
      <w:r w:rsidR="00340C4E" w:rsidRPr="00881647">
        <w:rPr>
          <w:rFonts w:ascii="Tw Cen MT" w:hAnsi="Tw Cen MT"/>
          <w:sz w:val="20"/>
        </w:rPr>
        <w:tab/>
      </w:r>
      <w:r w:rsidR="00340C4E" w:rsidRPr="00881647">
        <w:rPr>
          <w:rFonts w:ascii="Tw Cen MT" w:hAnsi="Tw Cen MT"/>
          <w:sz w:val="20"/>
        </w:rPr>
        <w:tab/>
      </w:r>
      <w:r w:rsidR="00340C4E">
        <w:rPr>
          <w:rFonts w:ascii="Tw Cen MT" w:hAnsi="Tw Cen MT"/>
          <w:sz w:val="20"/>
        </w:rPr>
        <w:tab/>
      </w:r>
      <w:r w:rsidR="00340C4E">
        <w:rPr>
          <w:rFonts w:ascii="Tw Cen MT" w:hAnsi="Tw Cen MT"/>
          <w:sz w:val="20"/>
        </w:rPr>
        <w:tab/>
      </w:r>
      <w:r w:rsidR="00340C4E">
        <w:rPr>
          <w:rFonts w:ascii="Tw Cen MT" w:hAnsi="Tw Cen MT"/>
          <w:sz w:val="20"/>
        </w:rPr>
        <w:tab/>
      </w:r>
      <w:r w:rsidR="00340C4E">
        <w:rPr>
          <w:rFonts w:ascii="Tw Cen MT" w:hAnsi="Tw Cen MT"/>
          <w:sz w:val="20"/>
        </w:rPr>
        <w:tab/>
      </w:r>
      <w:r w:rsidR="00340C4E" w:rsidRPr="00881647">
        <w:rPr>
          <w:rFonts w:ascii="Tw Cen MT" w:hAnsi="Tw Cen MT"/>
          <w:sz w:val="20"/>
        </w:rPr>
        <w:t>New York, NY</w:t>
      </w:r>
    </w:p>
    <w:p w14:paraId="74405D31" w14:textId="2B9674B2" w:rsidR="00340C4E" w:rsidRDefault="0052126E" w:rsidP="00340C4E">
      <w:pPr>
        <w:spacing w:before="20"/>
        <w:rPr>
          <w:rFonts w:ascii="Tw Cen MT" w:hAnsi="Tw Cen MT"/>
          <w:b/>
          <w:sz w:val="20"/>
        </w:rPr>
      </w:pPr>
      <w:r>
        <w:rPr>
          <w:rFonts w:ascii="Tw Cen MT" w:hAnsi="Tw Cen MT"/>
          <w:b/>
          <w:sz w:val="20"/>
        </w:rPr>
        <w:t>Associate Adjunct Professor</w:t>
      </w:r>
      <w:r>
        <w:rPr>
          <w:rFonts w:ascii="Tw Cen MT" w:hAnsi="Tw Cen MT"/>
          <w:b/>
          <w:sz w:val="20"/>
        </w:rPr>
        <w:tab/>
      </w:r>
      <w:r w:rsidR="00340C4E" w:rsidRPr="00881647">
        <w:rPr>
          <w:rFonts w:ascii="Tw Cen MT" w:hAnsi="Tw Cen MT"/>
          <w:b/>
          <w:sz w:val="20"/>
        </w:rPr>
        <w:t>01/2010 – 01/2014</w:t>
      </w:r>
    </w:p>
    <w:p w14:paraId="524E40BC" w14:textId="26094F59" w:rsidR="00340C4E" w:rsidRPr="00340C4E" w:rsidRDefault="00340C4E" w:rsidP="00DE095E">
      <w:pPr>
        <w:rPr>
          <w:rFonts w:ascii="Tw Cen MT" w:hAnsi="Tw Cen MT"/>
          <w:sz w:val="20"/>
        </w:rPr>
      </w:pPr>
      <w:r w:rsidRPr="00340C4E">
        <w:rPr>
          <w:rFonts w:ascii="Tw Cen MT" w:hAnsi="Tw Cen MT"/>
          <w:sz w:val="20"/>
        </w:rPr>
        <w:t>Instructed graduate and undergraduate level courses in reactor design and reactor kinetics emphasizing numerical solutions of complex industrially relevant networks in batch and continuous designs.</w:t>
      </w:r>
    </w:p>
    <w:p w14:paraId="4A2F767E" w14:textId="597FAC29" w:rsidR="00DE095E" w:rsidRPr="00881647" w:rsidRDefault="00DE095E" w:rsidP="00DE095E">
      <w:pPr>
        <w:rPr>
          <w:rFonts w:ascii="Tw Cen MT" w:hAnsi="Tw Cen MT"/>
          <w:sz w:val="20"/>
          <w:u w:val="single"/>
        </w:rPr>
      </w:pPr>
      <w:r w:rsidRPr="00881647">
        <w:rPr>
          <w:rFonts w:ascii="Tw Cen MT" w:hAnsi="Tw Cen MT"/>
          <w:sz w:val="20"/>
          <w:u w:val="single"/>
        </w:rPr>
        <w:t>Bristol Myers Squibb, Research &amp; Development</w:t>
      </w:r>
      <w:r w:rsidR="00BE0F8D" w:rsidRPr="00881647">
        <w:rPr>
          <w:rFonts w:ascii="Tw Cen MT" w:hAnsi="Tw Cen MT"/>
          <w:sz w:val="20"/>
        </w:rPr>
        <w:tab/>
      </w:r>
      <w:r w:rsidR="00BE0F8D" w:rsidRPr="00881647">
        <w:rPr>
          <w:rFonts w:ascii="Tw Cen MT" w:hAnsi="Tw Cen MT"/>
          <w:sz w:val="20"/>
        </w:rPr>
        <w:tab/>
      </w:r>
      <w:r w:rsidR="004C22D8">
        <w:rPr>
          <w:rFonts w:ascii="Tw Cen MT" w:hAnsi="Tw Cen MT"/>
          <w:sz w:val="20"/>
        </w:rPr>
        <w:tab/>
      </w:r>
      <w:r w:rsidR="00BE0F8D" w:rsidRPr="00881647">
        <w:rPr>
          <w:rFonts w:ascii="Tw Cen MT" w:hAnsi="Tw Cen MT"/>
          <w:sz w:val="20"/>
        </w:rPr>
        <w:t>New Brunswick, NJ</w:t>
      </w:r>
    </w:p>
    <w:p w14:paraId="4A2F767F" w14:textId="77777777" w:rsidR="00DE095E" w:rsidRPr="00881647" w:rsidRDefault="00DE095E" w:rsidP="00DE095E">
      <w:pPr>
        <w:spacing w:before="20"/>
        <w:rPr>
          <w:rFonts w:ascii="Tw Cen MT" w:hAnsi="Tw Cen MT"/>
          <w:b/>
          <w:sz w:val="20"/>
        </w:rPr>
      </w:pPr>
      <w:r w:rsidRPr="00881647">
        <w:rPr>
          <w:rFonts w:ascii="Tw Cen MT" w:hAnsi="Tw Cen MT"/>
          <w:b/>
          <w:sz w:val="20"/>
        </w:rPr>
        <w:t>Senior Principal Scientist</w:t>
      </w:r>
      <w:r w:rsidRPr="00881647">
        <w:rPr>
          <w:rFonts w:ascii="Tw Cen MT" w:hAnsi="Tw Cen MT"/>
          <w:b/>
          <w:sz w:val="20"/>
        </w:rPr>
        <w:tab/>
      </w:r>
      <w:r w:rsidRPr="00881647">
        <w:rPr>
          <w:rFonts w:ascii="Tw Cen MT" w:hAnsi="Tw Cen MT"/>
          <w:b/>
          <w:sz w:val="20"/>
        </w:rPr>
        <w:tab/>
        <w:t>08/2007 – 04/2012</w:t>
      </w:r>
    </w:p>
    <w:p w14:paraId="4A2F7680" w14:textId="77777777" w:rsidR="00DE095E" w:rsidRPr="00881647" w:rsidRDefault="00DE095E" w:rsidP="00DE095E">
      <w:pPr>
        <w:spacing w:before="20"/>
        <w:rPr>
          <w:rFonts w:ascii="Tw Cen MT" w:hAnsi="Tw Cen MT"/>
          <w:sz w:val="20"/>
        </w:rPr>
      </w:pPr>
      <w:r w:rsidRPr="00881647">
        <w:rPr>
          <w:rFonts w:ascii="Tw Cen MT" w:hAnsi="Tw Cen MT"/>
          <w:sz w:val="20"/>
        </w:rPr>
        <w:t xml:space="preserve">Developed and deployed tools for data analysis and data visualization. Designed mechanistic models to inform process development decisions. </w:t>
      </w:r>
    </w:p>
    <w:p w14:paraId="4A2F7681"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Defined a workflow to standardize the strategy for collection and analysis of high throughput data for chemical transformation. The workflow set the standard for HT data analysis in the organization.</w:t>
      </w:r>
    </w:p>
    <w:p w14:paraId="4A2F7682"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Initiated the multivariate analysis (MVA) community of practice (COP) comprised of scientist across the chemistry, engineering and analytical functional areas to ensure a systematic and aligned approach to design of experiments. Led the implementation of MATLAB as the standard tool for visualization of large data sets.</w:t>
      </w:r>
    </w:p>
    <w:p w14:paraId="39E2BB96" w14:textId="308E6CFC" w:rsidR="0010480F" w:rsidRPr="00340C4E"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 xml:space="preserve">Incorporated use of genetic algorithm for </w:t>
      </w:r>
      <w:r w:rsidR="00B95895">
        <w:rPr>
          <w:rFonts w:ascii="Tw Cen MT" w:hAnsi="Tw Cen MT"/>
          <w:sz w:val="20"/>
        </w:rPr>
        <w:t>seamless</w:t>
      </w:r>
      <w:r w:rsidRPr="00881647">
        <w:rPr>
          <w:rFonts w:ascii="Tw Cen MT" w:hAnsi="Tw Cen MT"/>
          <w:sz w:val="20"/>
        </w:rPr>
        <w:t xml:space="preserve"> development of fit-f</w:t>
      </w:r>
      <w:r w:rsidR="00B95895">
        <w:rPr>
          <w:rFonts w:ascii="Tw Cen MT" w:hAnsi="Tw Cen MT"/>
          <w:sz w:val="20"/>
        </w:rPr>
        <w:t>or-purpose statistical models enabling rapid definition of</w:t>
      </w:r>
      <w:r w:rsidRPr="00881647">
        <w:rPr>
          <w:rFonts w:ascii="Tw Cen MT" w:hAnsi="Tw Cen MT"/>
          <w:sz w:val="20"/>
        </w:rPr>
        <w:t xml:space="preserve"> design spaces and risk-based process optimization.</w:t>
      </w:r>
    </w:p>
    <w:p w14:paraId="2E1239C3" w14:textId="68A489A9" w:rsidR="0010480F" w:rsidRDefault="0010480F" w:rsidP="00DE095E">
      <w:pPr>
        <w:rPr>
          <w:rFonts w:ascii="Tw Cen MT" w:hAnsi="Tw Cen MT"/>
          <w:sz w:val="20"/>
          <w:u w:val="single"/>
        </w:rPr>
      </w:pPr>
    </w:p>
    <w:p w14:paraId="4A2F7685" w14:textId="28ED2E34" w:rsidR="00DE095E" w:rsidRPr="00881647" w:rsidRDefault="00DE095E" w:rsidP="00714630">
      <w:pPr>
        <w:spacing w:after="40"/>
        <w:rPr>
          <w:rFonts w:ascii="Tw Cen MT" w:hAnsi="Tw Cen MT"/>
          <w:sz w:val="20"/>
        </w:rPr>
      </w:pPr>
      <w:r w:rsidRPr="00881647">
        <w:rPr>
          <w:rFonts w:ascii="Tw Cen MT" w:hAnsi="Tw Cen MT"/>
          <w:sz w:val="20"/>
          <w:u w:val="single"/>
        </w:rPr>
        <w:t>Lilly Research Laboratories, Eli Lilly &amp; Co.</w:t>
      </w:r>
      <w:r w:rsidRPr="00881647">
        <w:rPr>
          <w:rFonts w:ascii="Tw Cen MT" w:hAnsi="Tw Cen MT"/>
          <w:sz w:val="20"/>
        </w:rPr>
        <w:t xml:space="preserve"> </w:t>
      </w:r>
      <w:r w:rsidRPr="00881647">
        <w:rPr>
          <w:rFonts w:ascii="Tw Cen MT" w:hAnsi="Tw Cen MT"/>
          <w:sz w:val="20"/>
        </w:rPr>
        <w:tab/>
      </w:r>
      <w:r w:rsidRPr="00881647">
        <w:rPr>
          <w:rFonts w:ascii="Tw Cen MT" w:hAnsi="Tw Cen MT"/>
          <w:sz w:val="20"/>
        </w:rPr>
        <w:tab/>
      </w:r>
      <w:r w:rsidR="003A0632">
        <w:rPr>
          <w:rFonts w:ascii="Tw Cen MT" w:hAnsi="Tw Cen MT"/>
          <w:sz w:val="20"/>
        </w:rPr>
        <w:tab/>
      </w:r>
      <w:r w:rsidR="003A0632">
        <w:rPr>
          <w:rFonts w:ascii="Tw Cen MT" w:hAnsi="Tw Cen MT"/>
          <w:sz w:val="20"/>
        </w:rPr>
        <w:tab/>
      </w:r>
      <w:r w:rsidRPr="00881647">
        <w:rPr>
          <w:rFonts w:ascii="Tw Cen MT" w:hAnsi="Tw Cen MT"/>
          <w:sz w:val="20"/>
        </w:rPr>
        <w:t>Indianapolis, IN</w:t>
      </w:r>
    </w:p>
    <w:p w14:paraId="4A2F7686" w14:textId="77777777" w:rsidR="00DE095E" w:rsidRPr="00881647" w:rsidRDefault="00DE095E" w:rsidP="00DE095E">
      <w:pPr>
        <w:spacing w:before="20"/>
        <w:rPr>
          <w:rFonts w:ascii="Tw Cen MT" w:hAnsi="Tw Cen MT"/>
          <w:b/>
          <w:sz w:val="20"/>
        </w:rPr>
      </w:pPr>
      <w:r w:rsidRPr="00881647">
        <w:rPr>
          <w:rFonts w:ascii="Tw Cen MT" w:hAnsi="Tw Cen MT"/>
          <w:b/>
          <w:sz w:val="20"/>
        </w:rPr>
        <w:t>Research Advisor</w:t>
      </w:r>
      <w:r w:rsidRPr="00881647">
        <w:rPr>
          <w:rFonts w:ascii="Tw Cen MT" w:hAnsi="Tw Cen MT"/>
          <w:b/>
          <w:sz w:val="20"/>
        </w:rPr>
        <w:tab/>
      </w:r>
      <w:r w:rsidRPr="00881647">
        <w:rPr>
          <w:rFonts w:ascii="Tw Cen MT" w:hAnsi="Tw Cen MT"/>
          <w:b/>
          <w:sz w:val="20"/>
        </w:rPr>
        <w:tab/>
        <w:t>11/2005 – 03/2007</w:t>
      </w:r>
    </w:p>
    <w:p w14:paraId="4A2F7687" w14:textId="77777777" w:rsidR="00DE095E" w:rsidRPr="00881647" w:rsidRDefault="00DE095E" w:rsidP="00714630">
      <w:pPr>
        <w:spacing w:before="20" w:after="0"/>
        <w:rPr>
          <w:rFonts w:ascii="Tw Cen MT" w:hAnsi="Tw Cen MT"/>
          <w:sz w:val="20"/>
        </w:rPr>
      </w:pPr>
      <w:r w:rsidRPr="00881647">
        <w:rPr>
          <w:rFonts w:ascii="Tw Cen MT" w:hAnsi="Tw Cen MT"/>
          <w:sz w:val="20"/>
        </w:rPr>
        <w:t>Provided expertise to the process development portfolio on the optimization of crystallization processes for intermediate and final API. Incorporated continuous wet-milling in the final crystallization of an API to provide small mono-dispersed particles.</w:t>
      </w:r>
    </w:p>
    <w:p w14:paraId="4A2F7688"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Led development groups in defining and optimizing large-scale API manufacturing process. Developed an aggregation model to define the impact of crystallization hydrodynamics on the resulting surface area, a critical attribute of the drug substance.  Established the control strategy to ensure consistent and reproducible material properties.</w:t>
      </w:r>
    </w:p>
    <w:p w14:paraId="4A2F7689"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Developed statistical mechanics models to estimate solubility of pharmaceutical non-electrolytes.</w:t>
      </w:r>
    </w:p>
    <w:p w14:paraId="4A2F768A" w14:textId="77777777" w:rsidR="00DE095E" w:rsidRPr="00881647" w:rsidRDefault="00DE095E" w:rsidP="00DE095E">
      <w:pPr>
        <w:rPr>
          <w:rFonts w:ascii="Tw Cen MT" w:hAnsi="Tw Cen MT"/>
          <w:sz w:val="20"/>
        </w:rPr>
      </w:pPr>
    </w:p>
    <w:p w14:paraId="4A2F768B" w14:textId="239E8455" w:rsidR="00DE095E" w:rsidRPr="00881647" w:rsidRDefault="00DE095E" w:rsidP="00714630">
      <w:pPr>
        <w:spacing w:after="40"/>
        <w:rPr>
          <w:rFonts w:ascii="Tw Cen MT" w:hAnsi="Tw Cen MT"/>
          <w:sz w:val="20"/>
        </w:rPr>
      </w:pPr>
      <w:r w:rsidRPr="00881647">
        <w:rPr>
          <w:rFonts w:ascii="Tw Cen MT" w:hAnsi="Tw Cen MT"/>
          <w:sz w:val="20"/>
          <w:u w:val="single"/>
        </w:rPr>
        <w:t>Merck Research Laboratories, Merck &amp; Co. Inc.</w:t>
      </w:r>
      <w:r w:rsidRPr="00881647">
        <w:rPr>
          <w:rFonts w:ascii="Tw Cen MT" w:hAnsi="Tw Cen MT"/>
          <w:sz w:val="20"/>
        </w:rPr>
        <w:t xml:space="preserve"> </w:t>
      </w:r>
      <w:r w:rsidRPr="00881647">
        <w:rPr>
          <w:rFonts w:ascii="Tw Cen MT" w:hAnsi="Tw Cen MT"/>
          <w:sz w:val="20"/>
        </w:rPr>
        <w:tab/>
      </w:r>
      <w:r w:rsidRPr="00881647">
        <w:rPr>
          <w:rFonts w:ascii="Tw Cen MT" w:hAnsi="Tw Cen MT"/>
          <w:sz w:val="20"/>
        </w:rPr>
        <w:tab/>
      </w:r>
      <w:r w:rsidR="003A0632">
        <w:rPr>
          <w:rFonts w:ascii="Tw Cen MT" w:hAnsi="Tw Cen MT"/>
          <w:sz w:val="20"/>
        </w:rPr>
        <w:tab/>
      </w:r>
      <w:r w:rsidRPr="00881647">
        <w:rPr>
          <w:rFonts w:ascii="Tw Cen MT" w:hAnsi="Tw Cen MT"/>
          <w:sz w:val="20"/>
        </w:rPr>
        <w:t>Rahway, NJ</w:t>
      </w:r>
    </w:p>
    <w:p w14:paraId="4A2F768C" w14:textId="77777777" w:rsidR="00DE095E" w:rsidRPr="00881647" w:rsidRDefault="00DE095E" w:rsidP="00DE095E">
      <w:pPr>
        <w:spacing w:before="20"/>
        <w:rPr>
          <w:rFonts w:ascii="Tw Cen MT" w:hAnsi="Tw Cen MT"/>
          <w:b/>
          <w:sz w:val="20"/>
        </w:rPr>
      </w:pPr>
      <w:r w:rsidRPr="00881647">
        <w:rPr>
          <w:rFonts w:ascii="Tw Cen MT" w:hAnsi="Tw Cen MT"/>
          <w:b/>
          <w:sz w:val="20"/>
        </w:rPr>
        <w:t>Senior Research Fellow</w:t>
      </w:r>
      <w:r w:rsidRPr="00881647">
        <w:rPr>
          <w:rFonts w:ascii="Tw Cen MT" w:hAnsi="Tw Cen MT"/>
          <w:b/>
          <w:sz w:val="20"/>
        </w:rPr>
        <w:tab/>
      </w:r>
      <w:r w:rsidRPr="00881647">
        <w:rPr>
          <w:rFonts w:ascii="Tw Cen MT" w:hAnsi="Tw Cen MT"/>
          <w:b/>
          <w:sz w:val="20"/>
        </w:rPr>
        <w:tab/>
        <w:t>05/2003 – 11/2005</w:t>
      </w:r>
    </w:p>
    <w:p w14:paraId="4A2F768D" w14:textId="77777777" w:rsidR="00DE095E" w:rsidRPr="00881647" w:rsidRDefault="00DE095E" w:rsidP="00714630">
      <w:pPr>
        <w:spacing w:before="20" w:after="0"/>
        <w:rPr>
          <w:rFonts w:ascii="Tw Cen MT" w:hAnsi="Tw Cen MT"/>
          <w:sz w:val="20"/>
        </w:rPr>
      </w:pPr>
      <w:r w:rsidRPr="00881647">
        <w:rPr>
          <w:rFonts w:ascii="Tw Cen MT" w:hAnsi="Tw Cen MT"/>
          <w:sz w:val="20"/>
        </w:rPr>
        <w:t>Managed process development groups to manufacture API at pilot scale to support project development from preclinical to Phase III. Contributed as key member of multidisciplinary team for preclinical and clinical product development. Coordinated outsourcing technology transfer of 10–100 kg scale for organic intermediates and APIs.</w:t>
      </w:r>
    </w:p>
    <w:p w14:paraId="4A2F768E"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Spearheaded milling technology testing efforts and optimized physical attributes of APIs to ensure adequate formulation and acceptable bioavailability.</w:t>
      </w:r>
    </w:p>
    <w:p w14:paraId="4A2F768F"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Designed chiral crystallizations of intermediates and APIs optimizing optical upgrade and yield. Developed semi-empirical activity coefficient models for APIs.</w:t>
      </w:r>
    </w:p>
    <w:p w14:paraId="4A2F7690" w14:textId="77777777" w:rsidR="00DE095E" w:rsidRPr="00881647" w:rsidRDefault="00DE095E" w:rsidP="00DE095E">
      <w:pPr>
        <w:rPr>
          <w:rFonts w:ascii="Tw Cen MT" w:hAnsi="Tw Cen MT"/>
          <w:sz w:val="20"/>
        </w:rPr>
      </w:pPr>
    </w:p>
    <w:p w14:paraId="4A2F7691" w14:textId="266C52C0" w:rsidR="00DE095E" w:rsidRPr="00881647" w:rsidRDefault="00DE095E" w:rsidP="004A1CE4">
      <w:pPr>
        <w:spacing w:after="40"/>
        <w:rPr>
          <w:rFonts w:ascii="Tw Cen MT" w:hAnsi="Tw Cen MT"/>
          <w:sz w:val="20"/>
          <w:u w:val="single"/>
        </w:rPr>
      </w:pPr>
      <w:r w:rsidRPr="00881647">
        <w:rPr>
          <w:rFonts w:ascii="Tw Cen MT" w:hAnsi="Tw Cen MT"/>
          <w:sz w:val="20"/>
          <w:u w:val="single"/>
        </w:rPr>
        <w:t>Merck Research Laboratories, Merck &amp; Co. Inc.</w:t>
      </w:r>
      <w:r w:rsidR="003A0632" w:rsidRPr="003A0632">
        <w:rPr>
          <w:rFonts w:ascii="Tw Cen MT" w:hAnsi="Tw Cen MT"/>
          <w:sz w:val="20"/>
        </w:rPr>
        <w:t xml:space="preserve"> </w:t>
      </w:r>
      <w:r w:rsidR="003A0632" w:rsidRPr="00881647">
        <w:rPr>
          <w:rFonts w:ascii="Tw Cen MT" w:hAnsi="Tw Cen MT"/>
          <w:sz w:val="20"/>
        </w:rPr>
        <w:tab/>
      </w:r>
      <w:r w:rsidR="003A0632" w:rsidRPr="00881647">
        <w:rPr>
          <w:rFonts w:ascii="Tw Cen MT" w:hAnsi="Tw Cen MT"/>
          <w:sz w:val="20"/>
        </w:rPr>
        <w:tab/>
      </w:r>
      <w:r w:rsidR="003A0632">
        <w:rPr>
          <w:rFonts w:ascii="Tw Cen MT" w:hAnsi="Tw Cen MT"/>
          <w:sz w:val="20"/>
        </w:rPr>
        <w:tab/>
      </w:r>
      <w:r w:rsidR="003A0632" w:rsidRPr="00881647">
        <w:rPr>
          <w:rFonts w:ascii="Tw Cen MT" w:hAnsi="Tw Cen MT"/>
          <w:sz w:val="20"/>
        </w:rPr>
        <w:t>Rahway, NJ</w:t>
      </w:r>
    </w:p>
    <w:p w14:paraId="4A2F7692" w14:textId="7AE98F03" w:rsidR="00DE095E" w:rsidRPr="00881647" w:rsidRDefault="00DE095E" w:rsidP="00DE095E">
      <w:pPr>
        <w:spacing w:before="20"/>
        <w:rPr>
          <w:rFonts w:ascii="Tw Cen MT" w:hAnsi="Tw Cen MT"/>
          <w:b/>
          <w:sz w:val="20"/>
        </w:rPr>
      </w:pPr>
      <w:r w:rsidRPr="00881647">
        <w:rPr>
          <w:rFonts w:ascii="Tw Cen MT" w:hAnsi="Tw Cen MT"/>
          <w:b/>
          <w:sz w:val="20"/>
        </w:rPr>
        <w:t>Research Fellow</w:t>
      </w:r>
      <w:r w:rsidRPr="00881647">
        <w:rPr>
          <w:rFonts w:ascii="Tw Cen MT" w:hAnsi="Tw Cen MT"/>
          <w:b/>
          <w:sz w:val="20"/>
        </w:rPr>
        <w:tab/>
      </w:r>
      <w:r w:rsidRPr="00881647">
        <w:rPr>
          <w:rFonts w:ascii="Tw Cen MT" w:hAnsi="Tw Cen MT"/>
          <w:b/>
          <w:sz w:val="20"/>
        </w:rPr>
        <w:tab/>
      </w:r>
      <w:r w:rsidR="0052126E">
        <w:rPr>
          <w:rFonts w:ascii="Tw Cen MT" w:hAnsi="Tw Cen MT"/>
          <w:b/>
          <w:sz w:val="20"/>
        </w:rPr>
        <w:tab/>
      </w:r>
      <w:r w:rsidRPr="00881647">
        <w:rPr>
          <w:rFonts w:ascii="Tw Cen MT" w:hAnsi="Tw Cen MT"/>
          <w:b/>
          <w:sz w:val="20"/>
        </w:rPr>
        <w:t>12/1999 – 05/2003</w:t>
      </w:r>
    </w:p>
    <w:p w14:paraId="4A2F7693" w14:textId="77777777" w:rsidR="00DE095E" w:rsidRPr="00881647" w:rsidRDefault="00DE095E" w:rsidP="00714630">
      <w:pPr>
        <w:spacing w:before="20" w:after="0"/>
        <w:rPr>
          <w:rFonts w:ascii="Tw Cen MT" w:hAnsi="Tw Cen MT"/>
          <w:sz w:val="20"/>
        </w:rPr>
      </w:pPr>
      <w:r w:rsidRPr="00881647">
        <w:rPr>
          <w:rFonts w:ascii="Tw Cen MT" w:hAnsi="Tw Cen MT"/>
          <w:sz w:val="20"/>
        </w:rPr>
        <w:t>Served as engineering group leader of team coordinating organic pilot plant processing. Evaluated scale-up process for safety, processability, and GMP compliance.</w:t>
      </w:r>
    </w:p>
    <w:p w14:paraId="4A2F7694" w14:textId="77777777" w:rsidR="00DE095E" w:rsidRPr="00881647" w:rsidRDefault="00DE095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Ensured accurate preparation of documents integration detailed process description to enable successful technology transfer for outsourcing companies (Bayer, FIS).</w:t>
      </w:r>
    </w:p>
    <w:p w14:paraId="7863AF37" w14:textId="59834FB8" w:rsidR="00DE095E" w:rsidRPr="00881647" w:rsidRDefault="00B2430D" w:rsidP="00B2430D">
      <w:pPr>
        <w:rPr>
          <w:rFonts w:ascii="Tw Cen MT" w:hAnsi="Tw Cen MT"/>
          <w:sz w:val="20"/>
        </w:rPr>
      </w:pPr>
      <w:r>
        <w:rPr>
          <w:rFonts w:ascii="Tw Cen MT" w:hAnsi="Tw Cen MT"/>
          <w:sz w:val="20"/>
        </w:rPr>
        <w:br w:type="page"/>
      </w:r>
    </w:p>
    <w:p w14:paraId="4A2F7696" w14:textId="2B2AE80D" w:rsidR="00DE095E" w:rsidRPr="00881647" w:rsidRDefault="00DE095E" w:rsidP="004A1CE4">
      <w:pPr>
        <w:spacing w:after="40"/>
        <w:rPr>
          <w:rFonts w:ascii="Tw Cen MT" w:hAnsi="Tw Cen MT"/>
          <w:sz w:val="20"/>
          <w:u w:val="single"/>
        </w:rPr>
      </w:pPr>
      <w:r w:rsidRPr="00881647">
        <w:rPr>
          <w:rFonts w:ascii="Tw Cen MT" w:hAnsi="Tw Cen MT"/>
          <w:sz w:val="20"/>
          <w:u w:val="single"/>
        </w:rPr>
        <w:lastRenderedPageBreak/>
        <w:t>Merck Research Laboratories, Merck &amp; Co., Inc.</w:t>
      </w:r>
      <w:r w:rsidR="003A0632" w:rsidRPr="003A0632">
        <w:rPr>
          <w:rFonts w:ascii="Tw Cen MT" w:hAnsi="Tw Cen MT"/>
          <w:sz w:val="20"/>
        </w:rPr>
        <w:t xml:space="preserve"> </w:t>
      </w:r>
      <w:r w:rsidR="003A0632" w:rsidRPr="00881647">
        <w:rPr>
          <w:rFonts w:ascii="Tw Cen MT" w:hAnsi="Tw Cen MT"/>
          <w:sz w:val="20"/>
        </w:rPr>
        <w:tab/>
      </w:r>
      <w:r w:rsidR="003A0632" w:rsidRPr="00881647">
        <w:rPr>
          <w:rFonts w:ascii="Tw Cen MT" w:hAnsi="Tw Cen MT"/>
          <w:sz w:val="20"/>
        </w:rPr>
        <w:tab/>
      </w:r>
      <w:r w:rsidR="003A0632">
        <w:rPr>
          <w:rFonts w:ascii="Tw Cen MT" w:hAnsi="Tw Cen MT"/>
          <w:sz w:val="20"/>
        </w:rPr>
        <w:tab/>
      </w:r>
      <w:r w:rsidR="003A0632" w:rsidRPr="00881647">
        <w:rPr>
          <w:rFonts w:ascii="Tw Cen MT" w:hAnsi="Tw Cen MT"/>
          <w:sz w:val="20"/>
        </w:rPr>
        <w:t>Rahway, NJ</w:t>
      </w:r>
    </w:p>
    <w:p w14:paraId="4A2F7697" w14:textId="77777777" w:rsidR="00DE095E" w:rsidRPr="00881647" w:rsidRDefault="00DE095E" w:rsidP="00DE095E">
      <w:pPr>
        <w:spacing w:before="20"/>
        <w:rPr>
          <w:rFonts w:ascii="Tw Cen MT" w:hAnsi="Tw Cen MT"/>
          <w:b/>
          <w:sz w:val="20"/>
        </w:rPr>
      </w:pPr>
      <w:r w:rsidRPr="00881647">
        <w:rPr>
          <w:rFonts w:ascii="Tw Cen MT" w:hAnsi="Tw Cen MT"/>
          <w:b/>
          <w:sz w:val="20"/>
        </w:rPr>
        <w:t>Engineer Associate</w:t>
      </w:r>
      <w:r w:rsidRPr="00881647">
        <w:rPr>
          <w:rFonts w:ascii="Tw Cen MT" w:hAnsi="Tw Cen MT"/>
          <w:b/>
          <w:sz w:val="20"/>
        </w:rPr>
        <w:tab/>
      </w:r>
      <w:r w:rsidRPr="00881647">
        <w:rPr>
          <w:rFonts w:ascii="Tw Cen MT" w:hAnsi="Tw Cen MT"/>
          <w:b/>
          <w:sz w:val="20"/>
        </w:rPr>
        <w:tab/>
        <w:t>08/1996 – 11/1999</w:t>
      </w:r>
    </w:p>
    <w:p w14:paraId="4A2F7698" w14:textId="77777777" w:rsidR="00DE095E" w:rsidRPr="00881647" w:rsidRDefault="00DE095E" w:rsidP="00714630">
      <w:pPr>
        <w:spacing w:before="20" w:after="0"/>
        <w:rPr>
          <w:rFonts w:ascii="Tw Cen MT" w:hAnsi="Tw Cen MT"/>
          <w:sz w:val="20"/>
        </w:rPr>
      </w:pPr>
      <w:r w:rsidRPr="00881647">
        <w:rPr>
          <w:rFonts w:ascii="Tw Cen MT" w:hAnsi="Tw Cen MT"/>
          <w:sz w:val="20"/>
        </w:rPr>
        <w:t>Contributed to technology transfer, supporting process train design and commissioning. Optimized manufacturing crystallization process of a marketed API to control particle size via crystallization. Ensured concentration within narrow target at seeding point.</w:t>
      </w:r>
    </w:p>
    <w:p w14:paraId="4A2F7699" w14:textId="2B2AEAA9" w:rsidR="00DE095E" w:rsidRPr="00881647" w:rsidRDefault="0052126E" w:rsidP="00DE095E">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Pr>
          <w:rFonts w:ascii="Tw Cen MT" w:hAnsi="Tw Cen MT"/>
          <w:sz w:val="20"/>
        </w:rPr>
        <w:t>As member of the reaction engineering laboratory, e</w:t>
      </w:r>
      <w:r w:rsidR="00DE095E" w:rsidRPr="00881647">
        <w:rPr>
          <w:rFonts w:ascii="Tw Cen MT" w:hAnsi="Tw Cen MT"/>
          <w:sz w:val="20"/>
        </w:rPr>
        <w:t>valuated hydrogenation kinetics and heterogeneous metal catalyst poisoning with ATR-FF</w:t>
      </w:r>
      <w:r>
        <w:rPr>
          <w:rFonts w:ascii="Tw Cen MT" w:hAnsi="Tw Cen MT"/>
          <w:sz w:val="20"/>
        </w:rPr>
        <w:t>T</w:t>
      </w:r>
      <w:r w:rsidR="00DE095E" w:rsidRPr="00881647">
        <w:rPr>
          <w:rFonts w:ascii="Tw Cen MT" w:hAnsi="Tw Cen MT"/>
          <w:sz w:val="20"/>
        </w:rPr>
        <w:t>IRS.</w:t>
      </w:r>
    </w:p>
    <w:p w14:paraId="4A2F769A" w14:textId="595C2423" w:rsidR="00403E7F" w:rsidRDefault="00DE095E" w:rsidP="00403E7F">
      <w:pPr>
        <w:numPr>
          <w:ilvl w:val="0"/>
          <w:numId w:val="1"/>
        </w:numPr>
        <w:tabs>
          <w:tab w:val="left" w:pos="360"/>
          <w:tab w:val="left" w:pos="648"/>
          <w:tab w:val="left" w:pos="936"/>
          <w:tab w:val="center" w:pos="5040"/>
          <w:tab w:val="right" w:pos="10080"/>
        </w:tabs>
        <w:spacing w:before="60" w:after="0" w:line="240" w:lineRule="auto"/>
        <w:rPr>
          <w:rFonts w:ascii="Tw Cen MT" w:hAnsi="Tw Cen MT"/>
          <w:sz w:val="20"/>
        </w:rPr>
      </w:pPr>
      <w:r w:rsidRPr="00881647">
        <w:rPr>
          <w:rFonts w:ascii="Tw Cen MT" w:hAnsi="Tw Cen MT"/>
          <w:sz w:val="20"/>
        </w:rPr>
        <w:t>Demonstrated the feasibility of using FTIR for a quantitative determination of the titration point in the isolation of a mono-chloride salt of a polybasic amine API.</w:t>
      </w:r>
    </w:p>
    <w:p w14:paraId="4A2F769F" w14:textId="00B46BD6" w:rsidR="00DE095E" w:rsidRPr="00881647" w:rsidRDefault="00DE095E" w:rsidP="00DE095E">
      <w:pPr>
        <w:rPr>
          <w:rFonts w:ascii="Tw Cen MT" w:hAnsi="Tw Cen MT"/>
          <w:sz w:val="20"/>
        </w:rPr>
      </w:pPr>
    </w:p>
    <w:p w14:paraId="4A2F76A0" w14:textId="77777777" w:rsidR="00DE095E" w:rsidRPr="00881647" w:rsidRDefault="00DE095E" w:rsidP="00DE095E">
      <w:pPr>
        <w:pBdr>
          <w:top w:val="single" w:sz="4" w:space="3" w:color="auto"/>
        </w:pBdr>
        <w:rPr>
          <w:rFonts w:ascii="Tw Cen MT" w:hAnsi="Tw Cen MT"/>
          <w:b/>
          <w:caps/>
          <w:sz w:val="24"/>
          <w:szCs w:val="26"/>
        </w:rPr>
      </w:pPr>
      <w:r w:rsidRPr="00881647">
        <w:rPr>
          <w:rFonts w:ascii="Tw Cen MT" w:hAnsi="Tw Cen MT"/>
          <w:b/>
          <w:caps/>
          <w:sz w:val="24"/>
          <w:szCs w:val="26"/>
        </w:rPr>
        <w:t>Education</w:t>
      </w:r>
    </w:p>
    <w:p w14:paraId="4A2F76A1" w14:textId="77777777" w:rsidR="00DE095E" w:rsidRPr="00881647" w:rsidRDefault="00DE095E" w:rsidP="00B2430D">
      <w:pPr>
        <w:spacing w:afterLines="50" w:after="120"/>
        <w:rPr>
          <w:rFonts w:ascii="Tw Cen MT" w:hAnsi="Tw Cen MT"/>
          <w:sz w:val="20"/>
        </w:rPr>
      </w:pPr>
      <w:r w:rsidRPr="00881647">
        <w:rPr>
          <w:rFonts w:ascii="Tw Cen MT" w:hAnsi="Tw Cen MT"/>
          <w:sz w:val="20"/>
          <w:u w:val="single"/>
        </w:rPr>
        <w:t>University of Virginia</w:t>
      </w:r>
      <w:r w:rsidRPr="00881647">
        <w:rPr>
          <w:rFonts w:ascii="Tw Cen MT" w:hAnsi="Tw Cen MT"/>
          <w:sz w:val="20"/>
        </w:rPr>
        <w:tab/>
      </w:r>
      <w:r w:rsidRPr="00881647">
        <w:rPr>
          <w:rFonts w:ascii="Tw Cen MT" w:hAnsi="Tw Cen MT"/>
          <w:sz w:val="20"/>
        </w:rPr>
        <w:tab/>
        <w:t>Charlottesville, VA</w:t>
      </w:r>
    </w:p>
    <w:p w14:paraId="4A2F76A2" w14:textId="77777777" w:rsidR="00DE095E" w:rsidRPr="00881647" w:rsidRDefault="00DE095E" w:rsidP="00B2430D">
      <w:pPr>
        <w:spacing w:afterLines="50" w:after="120"/>
        <w:rPr>
          <w:rFonts w:ascii="Tw Cen MT" w:hAnsi="Tw Cen MT"/>
          <w:b/>
          <w:sz w:val="20"/>
        </w:rPr>
      </w:pPr>
      <w:r w:rsidRPr="00881647">
        <w:rPr>
          <w:rFonts w:ascii="Tw Cen MT" w:hAnsi="Tw Cen MT"/>
          <w:b/>
          <w:sz w:val="20"/>
        </w:rPr>
        <w:t xml:space="preserve">PhD in Structure and Catalytic Activity of Novel Solid Acids </w:t>
      </w:r>
    </w:p>
    <w:p w14:paraId="4A2F76A4" w14:textId="00AE3B9E" w:rsidR="00DE095E" w:rsidRPr="00B2430D" w:rsidRDefault="00DE095E" w:rsidP="00B2430D">
      <w:pPr>
        <w:spacing w:afterLines="50" w:after="120"/>
        <w:rPr>
          <w:rFonts w:ascii="Tw Cen MT" w:hAnsi="Tw Cen MT"/>
          <w:b/>
          <w:sz w:val="20"/>
        </w:rPr>
      </w:pPr>
      <w:r w:rsidRPr="00881647">
        <w:rPr>
          <w:rFonts w:ascii="Tw Cen MT" w:hAnsi="Tw Cen MT"/>
          <w:b/>
          <w:sz w:val="20"/>
        </w:rPr>
        <w:t>Master of Science (MSc) in Chemical Engineering</w:t>
      </w:r>
    </w:p>
    <w:p w14:paraId="4A2F76A5" w14:textId="77777777" w:rsidR="00DE095E" w:rsidRPr="00881647" w:rsidRDefault="00DE095E" w:rsidP="00B2430D">
      <w:pPr>
        <w:spacing w:afterLines="50" w:after="120"/>
        <w:rPr>
          <w:rFonts w:ascii="Tw Cen MT" w:hAnsi="Tw Cen MT"/>
          <w:sz w:val="20"/>
        </w:rPr>
      </w:pPr>
      <w:r w:rsidRPr="00881647">
        <w:rPr>
          <w:rFonts w:ascii="Tw Cen MT" w:hAnsi="Tw Cen MT"/>
          <w:sz w:val="20"/>
          <w:u w:val="single"/>
        </w:rPr>
        <w:t>Louisiana State University</w:t>
      </w:r>
      <w:r w:rsidRPr="00881647">
        <w:rPr>
          <w:rFonts w:ascii="Tw Cen MT" w:hAnsi="Tw Cen MT"/>
          <w:sz w:val="20"/>
        </w:rPr>
        <w:tab/>
      </w:r>
      <w:r w:rsidRPr="00881647">
        <w:rPr>
          <w:rFonts w:ascii="Tw Cen MT" w:hAnsi="Tw Cen MT"/>
          <w:sz w:val="20"/>
        </w:rPr>
        <w:tab/>
        <w:t>Baton Rouge, LA</w:t>
      </w:r>
    </w:p>
    <w:p w14:paraId="4A2F76A6" w14:textId="77777777" w:rsidR="00DE095E" w:rsidRPr="00881647" w:rsidRDefault="00DE095E" w:rsidP="00B2430D">
      <w:pPr>
        <w:spacing w:afterLines="50" w:after="120"/>
        <w:rPr>
          <w:rFonts w:ascii="Tw Cen MT" w:hAnsi="Tw Cen MT"/>
          <w:b/>
          <w:sz w:val="20"/>
        </w:rPr>
      </w:pPr>
      <w:r w:rsidRPr="00881647">
        <w:rPr>
          <w:rFonts w:ascii="Tw Cen MT" w:hAnsi="Tw Cen MT"/>
          <w:b/>
          <w:sz w:val="20"/>
        </w:rPr>
        <w:t xml:space="preserve">Bachelor of Science (BS) in Chemical Engineering, </w:t>
      </w:r>
      <w:r w:rsidRPr="00881647">
        <w:rPr>
          <w:rFonts w:ascii="Tw Cen MT" w:hAnsi="Tw Cen MT"/>
          <w:b/>
          <w:i/>
          <w:sz w:val="20"/>
        </w:rPr>
        <w:t>magna cum laude</w:t>
      </w:r>
    </w:p>
    <w:p w14:paraId="4A2F76A7" w14:textId="77777777" w:rsidR="00DE095E" w:rsidRPr="00881647" w:rsidRDefault="00DE095E" w:rsidP="00DE095E">
      <w:pPr>
        <w:rPr>
          <w:rFonts w:ascii="Tw Cen MT" w:hAnsi="Tw Cen MT"/>
          <w:sz w:val="20"/>
        </w:rPr>
      </w:pPr>
    </w:p>
    <w:p w14:paraId="4A2F76A8" w14:textId="77777777" w:rsidR="00DE095E" w:rsidRPr="00881647" w:rsidRDefault="00DE095E" w:rsidP="00DE095E">
      <w:pPr>
        <w:pBdr>
          <w:top w:val="single" w:sz="4" w:space="3" w:color="auto"/>
        </w:pBdr>
        <w:rPr>
          <w:rFonts w:ascii="Tw Cen MT" w:hAnsi="Tw Cen MT"/>
          <w:b/>
          <w:caps/>
          <w:sz w:val="24"/>
          <w:szCs w:val="26"/>
        </w:rPr>
      </w:pPr>
      <w:r w:rsidRPr="00881647">
        <w:rPr>
          <w:rFonts w:ascii="Tw Cen MT" w:hAnsi="Tw Cen MT"/>
          <w:b/>
          <w:caps/>
          <w:sz w:val="24"/>
          <w:szCs w:val="26"/>
        </w:rPr>
        <w:t>Awards &amp; Recognition</w:t>
      </w:r>
    </w:p>
    <w:p w14:paraId="4A2F76AA" w14:textId="6D86918B" w:rsidR="00DE095E" w:rsidRPr="00B2430D" w:rsidRDefault="00DE095E" w:rsidP="00B2430D">
      <w:pPr>
        <w:spacing w:before="240" w:after="80"/>
        <w:rPr>
          <w:rFonts w:ascii="Tw Cen MT" w:hAnsi="Tw Cen MT"/>
          <w:b/>
          <w:sz w:val="24"/>
          <w:u w:val="single"/>
        </w:rPr>
      </w:pPr>
      <w:r w:rsidRPr="003E5175">
        <w:rPr>
          <w:rFonts w:ascii="Tw Cen MT" w:hAnsi="Tw Cen MT"/>
          <w:b/>
          <w:sz w:val="24"/>
          <w:u w:val="single"/>
        </w:rPr>
        <w:t>Bristol Myers Squibb</w:t>
      </w:r>
    </w:p>
    <w:p w14:paraId="4A2F76AB" w14:textId="77777777" w:rsidR="00DE095E" w:rsidRPr="00881647" w:rsidRDefault="00DE095E" w:rsidP="00B2430D">
      <w:pPr>
        <w:spacing w:after="80"/>
        <w:rPr>
          <w:rFonts w:ascii="Tw Cen MT" w:hAnsi="Tw Cen MT"/>
          <w:b/>
          <w:sz w:val="20"/>
        </w:rPr>
      </w:pPr>
      <w:r w:rsidRPr="00881647">
        <w:rPr>
          <w:rFonts w:ascii="Tw Cen MT" w:hAnsi="Tw Cen MT"/>
          <w:b/>
          <w:sz w:val="20"/>
        </w:rPr>
        <w:t xml:space="preserve">Engineering and Technology Leadership Award </w:t>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t>2016</w:t>
      </w:r>
    </w:p>
    <w:p w14:paraId="4A2F76AD" w14:textId="34E58CEA" w:rsidR="00DE095E" w:rsidRPr="00B2430D" w:rsidRDefault="00DE095E" w:rsidP="00B2430D">
      <w:pPr>
        <w:spacing w:after="80"/>
        <w:rPr>
          <w:rFonts w:ascii="Tw Cen MT" w:hAnsi="Tw Cen MT"/>
          <w:sz w:val="20"/>
        </w:rPr>
      </w:pPr>
      <w:r w:rsidRPr="00881647">
        <w:rPr>
          <w:rFonts w:ascii="Tw Cen MT" w:hAnsi="Tw Cen MT"/>
          <w:sz w:val="20"/>
        </w:rPr>
        <w:t xml:space="preserve">In recognition of development of a mathematical model to quantify the </w:t>
      </w:r>
      <w:r w:rsidR="00BE0F8D">
        <w:rPr>
          <w:rFonts w:ascii="Tw Cen MT" w:hAnsi="Tw Cen MT"/>
          <w:sz w:val="20"/>
        </w:rPr>
        <w:t xml:space="preserve">rate </w:t>
      </w:r>
      <w:r w:rsidRPr="00881647">
        <w:rPr>
          <w:rFonts w:ascii="Tw Cen MT" w:hAnsi="Tw Cen MT"/>
          <w:sz w:val="20"/>
        </w:rPr>
        <w:t>photo-degradation of a solid drug substance and the corresponding drug product and enable a rational controls strategy to ensure product quality.</w:t>
      </w:r>
    </w:p>
    <w:p w14:paraId="4A2F76AE" w14:textId="77777777" w:rsidR="00DE095E" w:rsidRPr="00881647" w:rsidRDefault="00DE095E" w:rsidP="00B2430D">
      <w:pPr>
        <w:spacing w:after="80"/>
        <w:rPr>
          <w:rFonts w:ascii="Tw Cen MT" w:hAnsi="Tw Cen MT"/>
          <w:b/>
          <w:sz w:val="20"/>
        </w:rPr>
      </w:pPr>
      <w:r w:rsidRPr="00881647">
        <w:rPr>
          <w:rFonts w:ascii="Tw Cen MT" w:hAnsi="Tw Cen MT"/>
          <w:b/>
          <w:sz w:val="20"/>
        </w:rPr>
        <w:t>Pharmaceutical Development Operating Committee Excellence Award</w:t>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t>2012</w:t>
      </w:r>
    </w:p>
    <w:p w14:paraId="4A2F76B0" w14:textId="775B4097" w:rsidR="00DE095E" w:rsidRPr="00B2430D" w:rsidRDefault="00DE095E" w:rsidP="00B2430D">
      <w:pPr>
        <w:spacing w:after="80"/>
        <w:rPr>
          <w:rFonts w:ascii="Tw Cen MT" w:hAnsi="Tw Cen MT"/>
          <w:sz w:val="20"/>
        </w:rPr>
      </w:pPr>
      <w:r w:rsidRPr="00881647">
        <w:rPr>
          <w:rFonts w:ascii="Tw Cen MT" w:hAnsi="Tw Cen MT"/>
          <w:sz w:val="20"/>
        </w:rPr>
        <w:t>For delivering companywide materials property database to track material solid state attributes</w:t>
      </w:r>
    </w:p>
    <w:p w14:paraId="4A2F76B1" w14:textId="77777777" w:rsidR="00DE095E" w:rsidRPr="00881647" w:rsidRDefault="00DE095E" w:rsidP="00B2430D">
      <w:pPr>
        <w:spacing w:after="80"/>
        <w:rPr>
          <w:rFonts w:ascii="Tw Cen MT" w:hAnsi="Tw Cen MT"/>
          <w:b/>
          <w:sz w:val="20"/>
        </w:rPr>
      </w:pPr>
      <w:r w:rsidRPr="00881647">
        <w:rPr>
          <w:rFonts w:ascii="Tw Cen MT" w:hAnsi="Tw Cen MT"/>
          <w:b/>
          <w:sz w:val="20"/>
        </w:rPr>
        <w:t>Chemistry Leadership Award: Leadership in Multivariate Analysis</w:t>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t>2011</w:t>
      </w:r>
    </w:p>
    <w:p w14:paraId="4A2F76B3" w14:textId="6D71ADBD" w:rsidR="00DE095E" w:rsidRPr="00881647" w:rsidRDefault="00DE095E" w:rsidP="00B2430D">
      <w:pPr>
        <w:spacing w:after="80"/>
        <w:rPr>
          <w:rFonts w:ascii="Tw Cen MT" w:hAnsi="Tw Cen MT"/>
          <w:sz w:val="20"/>
        </w:rPr>
      </w:pPr>
      <w:r w:rsidRPr="00881647">
        <w:rPr>
          <w:rFonts w:ascii="Tw Cen MT" w:hAnsi="Tw Cen MT"/>
          <w:sz w:val="20"/>
        </w:rPr>
        <w:t>In recognition of the introduction and leadership in the dissemination of multivariate data visualization tools for process understanding and QbD support.</w:t>
      </w:r>
    </w:p>
    <w:p w14:paraId="4A2F76B4" w14:textId="77777777" w:rsidR="00DE095E" w:rsidRPr="003E5175" w:rsidRDefault="00DE095E" w:rsidP="00B2430D">
      <w:pPr>
        <w:spacing w:before="240" w:after="80"/>
        <w:rPr>
          <w:rFonts w:ascii="Tw Cen MT" w:hAnsi="Tw Cen MT"/>
          <w:b/>
          <w:sz w:val="24"/>
          <w:u w:val="single"/>
        </w:rPr>
      </w:pPr>
      <w:r w:rsidRPr="003E5175">
        <w:rPr>
          <w:rFonts w:ascii="Tw Cen MT" w:hAnsi="Tw Cen MT"/>
          <w:b/>
          <w:sz w:val="24"/>
          <w:u w:val="single"/>
        </w:rPr>
        <w:t>American Institute of Chemical Engineers (AIChE)</w:t>
      </w:r>
    </w:p>
    <w:p w14:paraId="63239AE3" w14:textId="3E5442E9" w:rsidR="00273B69" w:rsidRPr="00881647" w:rsidRDefault="00273B69" w:rsidP="00273B69">
      <w:pPr>
        <w:spacing w:after="80"/>
        <w:rPr>
          <w:rFonts w:ascii="Tw Cen MT" w:hAnsi="Tw Cen MT"/>
          <w:b/>
          <w:sz w:val="20"/>
        </w:rPr>
      </w:pPr>
      <w:r w:rsidRPr="00273B69">
        <w:rPr>
          <w:rFonts w:ascii="Tw Cen MT" w:hAnsi="Tw Cen MT"/>
          <w:b/>
          <w:sz w:val="20"/>
        </w:rPr>
        <w:t>Industrial Research and Development Award</w:t>
      </w:r>
      <w:r>
        <w:rPr>
          <w:rFonts w:ascii="Tw Cen MT" w:hAnsi="Tw Cen MT"/>
          <w:b/>
          <w:sz w:val="20"/>
        </w:rPr>
        <w:tab/>
      </w:r>
      <w:r>
        <w:rPr>
          <w:rFonts w:ascii="Tw Cen MT" w:hAnsi="Tw Cen MT"/>
          <w:b/>
          <w:sz w:val="20"/>
        </w:rPr>
        <w:tab/>
      </w:r>
      <w:r>
        <w:rPr>
          <w:rFonts w:ascii="Tw Cen MT" w:hAnsi="Tw Cen MT"/>
          <w:b/>
          <w:sz w:val="20"/>
        </w:rPr>
        <w:tab/>
      </w:r>
      <w:r>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t>20</w:t>
      </w:r>
      <w:r>
        <w:rPr>
          <w:rFonts w:ascii="Tw Cen MT" w:hAnsi="Tw Cen MT"/>
          <w:b/>
          <w:sz w:val="20"/>
        </w:rPr>
        <w:t>22</w:t>
      </w:r>
    </w:p>
    <w:p w14:paraId="1002AFE8" w14:textId="3B58EA7F" w:rsidR="00273B69" w:rsidRPr="00273B69" w:rsidRDefault="00273B69" w:rsidP="00B2430D">
      <w:pPr>
        <w:numPr>
          <w:ilvl w:val="0"/>
          <w:numId w:val="1"/>
        </w:numPr>
        <w:tabs>
          <w:tab w:val="left" w:pos="360"/>
          <w:tab w:val="left" w:pos="648"/>
          <w:tab w:val="left" w:pos="936"/>
          <w:tab w:val="center" w:pos="5040"/>
          <w:tab w:val="right" w:pos="10080"/>
        </w:tabs>
        <w:spacing w:after="80" w:line="240" w:lineRule="auto"/>
        <w:rPr>
          <w:rFonts w:ascii="Tw Cen MT" w:hAnsi="Tw Cen MT"/>
          <w:b/>
          <w:sz w:val="20"/>
        </w:rPr>
      </w:pPr>
      <w:r>
        <w:rPr>
          <w:rFonts w:ascii="Tw Cen MT" w:hAnsi="Tw Cen MT"/>
          <w:sz w:val="20"/>
        </w:rPr>
        <w:t xml:space="preserve">The </w:t>
      </w:r>
      <w:r w:rsidRPr="00273B69">
        <w:rPr>
          <w:rFonts w:ascii="Tw Cen MT" w:hAnsi="Tw Cen MT"/>
          <w:sz w:val="20"/>
        </w:rPr>
        <w:t>Institute and Board of Directors’ Awards</w:t>
      </w:r>
      <w:r>
        <w:rPr>
          <w:rFonts w:ascii="Tw Cen MT" w:hAnsi="Tw Cen MT"/>
          <w:sz w:val="20"/>
        </w:rPr>
        <w:t xml:space="preserve"> one of </w:t>
      </w:r>
      <w:r w:rsidRPr="00273B69">
        <w:rPr>
          <w:rFonts w:ascii="Tw Cen MT" w:hAnsi="Tw Cen MT"/>
          <w:sz w:val="20"/>
        </w:rPr>
        <w:t>AIChE’s highest honors</w:t>
      </w:r>
      <w:r>
        <w:rPr>
          <w:rFonts w:ascii="Tw Cen MT" w:hAnsi="Tw Cen MT"/>
          <w:sz w:val="20"/>
        </w:rPr>
        <w:t xml:space="preserve"> in recognition for </w:t>
      </w:r>
      <w:r w:rsidR="007C57FE">
        <w:rPr>
          <w:rFonts w:ascii="Tw Cen MT" w:hAnsi="Tw Cen MT"/>
          <w:sz w:val="20"/>
        </w:rPr>
        <w:t>career-long efforts advancing the development and utilization of data visualization and modeling in pharmaceutical development</w:t>
      </w:r>
      <w:r>
        <w:rPr>
          <w:rFonts w:ascii="Tw Cen MT" w:hAnsi="Tw Cen MT"/>
          <w:sz w:val="20"/>
        </w:rPr>
        <w:t>.</w:t>
      </w:r>
    </w:p>
    <w:p w14:paraId="41FE4E9B" w14:textId="7B69417F" w:rsidR="00001C35" w:rsidRPr="00881647" w:rsidRDefault="00001C35" w:rsidP="00B2430D">
      <w:pPr>
        <w:spacing w:after="80"/>
        <w:rPr>
          <w:rFonts w:ascii="Tw Cen MT" w:hAnsi="Tw Cen MT"/>
          <w:b/>
          <w:sz w:val="20"/>
        </w:rPr>
      </w:pPr>
      <w:r w:rsidRPr="00881647">
        <w:rPr>
          <w:rFonts w:ascii="Tw Cen MT" w:hAnsi="Tw Cen MT"/>
          <w:b/>
          <w:sz w:val="20"/>
        </w:rPr>
        <w:t xml:space="preserve">AIChE </w:t>
      </w:r>
      <w:r>
        <w:rPr>
          <w:rFonts w:ascii="Tw Cen MT" w:hAnsi="Tw Cen MT"/>
          <w:b/>
          <w:sz w:val="20"/>
        </w:rPr>
        <w:t>Fellow</w:t>
      </w:r>
      <w:r>
        <w:rPr>
          <w:rFonts w:ascii="Tw Cen MT" w:hAnsi="Tw Cen MT"/>
          <w:b/>
          <w:sz w:val="20"/>
        </w:rPr>
        <w:tab/>
      </w:r>
      <w:r>
        <w:rPr>
          <w:rFonts w:ascii="Tw Cen MT" w:hAnsi="Tw Cen MT"/>
          <w:b/>
          <w:sz w:val="20"/>
        </w:rPr>
        <w:tab/>
      </w:r>
      <w:r>
        <w:rPr>
          <w:rFonts w:ascii="Tw Cen MT" w:hAnsi="Tw Cen MT"/>
          <w:b/>
          <w:sz w:val="20"/>
        </w:rPr>
        <w:tab/>
      </w:r>
      <w:r>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t>201</w:t>
      </w:r>
      <w:r>
        <w:rPr>
          <w:rFonts w:ascii="Tw Cen MT" w:hAnsi="Tw Cen MT"/>
          <w:b/>
          <w:sz w:val="20"/>
        </w:rPr>
        <w:t>9</w:t>
      </w:r>
    </w:p>
    <w:p w14:paraId="2A7DFB60" w14:textId="1ED6EDC0" w:rsidR="00787588" w:rsidRPr="00B2430D" w:rsidRDefault="00787588" w:rsidP="00B2430D">
      <w:pPr>
        <w:numPr>
          <w:ilvl w:val="0"/>
          <w:numId w:val="1"/>
        </w:numPr>
        <w:tabs>
          <w:tab w:val="left" w:pos="360"/>
          <w:tab w:val="left" w:pos="648"/>
          <w:tab w:val="left" w:pos="936"/>
          <w:tab w:val="center" w:pos="5040"/>
          <w:tab w:val="right" w:pos="10080"/>
        </w:tabs>
        <w:spacing w:after="80" w:line="240" w:lineRule="auto"/>
        <w:rPr>
          <w:rFonts w:ascii="Tw Cen MT" w:hAnsi="Tw Cen MT"/>
          <w:b/>
          <w:sz w:val="20"/>
        </w:rPr>
      </w:pPr>
      <w:r w:rsidRPr="00787588">
        <w:rPr>
          <w:rFonts w:ascii="Tw Cen MT" w:hAnsi="Tw Cen MT"/>
          <w:sz w:val="20"/>
        </w:rPr>
        <w:t>Fellow is AIChE's highest grade of membership and is achieved only th</w:t>
      </w:r>
      <w:r w:rsidR="00772740">
        <w:rPr>
          <w:rFonts w:ascii="Tw Cen MT" w:hAnsi="Tw Cen MT"/>
          <w:sz w:val="20"/>
        </w:rPr>
        <w:t>rough election by the AIChE Board of Directors</w:t>
      </w:r>
      <w:r w:rsidRPr="00787588">
        <w:rPr>
          <w:rFonts w:ascii="Tw Cen MT" w:hAnsi="Tw Cen MT"/>
          <w:sz w:val="20"/>
        </w:rPr>
        <w:t>.</w:t>
      </w:r>
      <w:r w:rsidR="00772740">
        <w:rPr>
          <w:rFonts w:ascii="Tw Cen MT" w:hAnsi="Tw Cen MT"/>
          <w:sz w:val="20"/>
        </w:rPr>
        <w:t xml:space="preserve">  Inducted </w:t>
      </w:r>
      <w:r w:rsidR="00CB6161">
        <w:rPr>
          <w:rFonts w:ascii="Tw Cen MT" w:hAnsi="Tw Cen MT"/>
          <w:sz w:val="20"/>
        </w:rPr>
        <w:t xml:space="preserve">in recognition of work incorporating Data Science and Data Exploration Analysis to the Pharmaceutical Product Development </w:t>
      </w:r>
      <w:r w:rsidR="003E5175">
        <w:rPr>
          <w:rFonts w:ascii="Tw Cen MT" w:hAnsi="Tw Cen MT"/>
          <w:sz w:val="20"/>
        </w:rPr>
        <w:t>process</w:t>
      </w:r>
      <w:r w:rsidR="00CB6161">
        <w:rPr>
          <w:rFonts w:ascii="Tw Cen MT" w:hAnsi="Tw Cen MT"/>
          <w:sz w:val="20"/>
        </w:rPr>
        <w:t>.</w:t>
      </w:r>
    </w:p>
    <w:p w14:paraId="4A2F76B5" w14:textId="4BEB3DA8" w:rsidR="00DE095E" w:rsidRPr="00881647" w:rsidRDefault="00DE095E" w:rsidP="00B2430D">
      <w:pPr>
        <w:spacing w:after="80"/>
        <w:rPr>
          <w:rFonts w:ascii="Tw Cen MT" w:hAnsi="Tw Cen MT"/>
          <w:b/>
          <w:sz w:val="20"/>
        </w:rPr>
      </w:pPr>
      <w:r w:rsidRPr="00881647">
        <w:rPr>
          <w:rFonts w:ascii="Tw Cen MT" w:hAnsi="Tw Cen MT"/>
          <w:b/>
          <w:sz w:val="20"/>
        </w:rPr>
        <w:t>AIChE Excell</w:t>
      </w:r>
      <w:r w:rsidR="00001C35">
        <w:rPr>
          <w:rFonts w:ascii="Tw Cen MT" w:hAnsi="Tw Cen MT"/>
          <w:b/>
          <w:sz w:val="20"/>
        </w:rPr>
        <w:t>ence in Quality by Design Award</w:t>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r>
      <w:r w:rsidRPr="00881647">
        <w:rPr>
          <w:rFonts w:ascii="Tw Cen MT" w:hAnsi="Tw Cen MT"/>
          <w:b/>
          <w:sz w:val="20"/>
        </w:rPr>
        <w:tab/>
        <w:t>2011</w:t>
      </w:r>
    </w:p>
    <w:p w14:paraId="4A2F76B6" w14:textId="77777777" w:rsidR="00DE095E" w:rsidRPr="00881647" w:rsidRDefault="00DE095E" w:rsidP="00B2430D">
      <w:pPr>
        <w:numPr>
          <w:ilvl w:val="0"/>
          <w:numId w:val="1"/>
        </w:numPr>
        <w:tabs>
          <w:tab w:val="left" w:pos="360"/>
          <w:tab w:val="left" w:pos="648"/>
          <w:tab w:val="left" w:pos="936"/>
          <w:tab w:val="center" w:pos="5040"/>
          <w:tab w:val="right" w:pos="10080"/>
        </w:tabs>
        <w:spacing w:after="80" w:line="240" w:lineRule="auto"/>
        <w:rPr>
          <w:rFonts w:ascii="Tw Cen MT" w:hAnsi="Tw Cen MT"/>
          <w:sz w:val="20"/>
        </w:rPr>
      </w:pPr>
      <w:r w:rsidRPr="00881647">
        <w:rPr>
          <w:rFonts w:ascii="Tw Cen MT" w:hAnsi="Tw Cen MT"/>
          <w:sz w:val="20"/>
        </w:rPr>
        <w:t>Awarded by Pharmaceutical group of Area 15B in recognition for industrial leadership in the incorporation of multivariate and data visualization tools in pharmaceutical development</w:t>
      </w:r>
    </w:p>
    <w:p w14:paraId="4A2F76B7" w14:textId="77777777" w:rsidR="00DE095E" w:rsidRPr="00881647" w:rsidRDefault="00403E7F" w:rsidP="00DE095E">
      <w:pPr>
        <w:rPr>
          <w:rFonts w:ascii="Tw Cen MT" w:hAnsi="Tw Cen MT"/>
          <w:sz w:val="20"/>
        </w:rPr>
      </w:pPr>
      <w:r w:rsidRPr="00881647">
        <w:rPr>
          <w:rFonts w:ascii="Tw Cen MT" w:hAnsi="Tw Cen MT"/>
          <w:sz w:val="20"/>
        </w:rPr>
        <w:br w:type="page"/>
      </w:r>
      <w:r w:rsidR="00DE095E" w:rsidRPr="00881647">
        <w:rPr>
          <w:rFonts w:ascii="Tw Cen MT" w:hAnsi="Tw Cen MT"/>
          <w:b/>
          <w:caps/>
          <w:sz w:val="24"/>
          <w:szCs w:val="26"/>
        </w:rPr>
        <w:lastRenderedPageBreak/>
        <w:t>Recent Publications &amp; Presentations</w:t>
      </w:r>
    </w:p>
    <w:p w14:paraId="4A2F76B8" w14:textId="77777777" w:rsidR="00DE095E" w:rsidRPr="00881647" w:rsidRDefault="00DE095E" w:rsidP="004A1CE4">
      <w:pPr>
        <w:spacing w:afterLines="40" w:after="96"/>
        <w:jc w:val="center"/>
        <w:rPr>
          <w:rFonts w:ascii="Tw Cen MT" w:hAnsi="Tw Cen MT"/>
          <w:i/>
          <w:sz w:val="20"/>
          <w:u w:val="single"/>
        </w:rPr>
      </w:pPr>
      <w:r w:rsidRPr="00881647">
        <w:rPr>
          <w:rFonts w:ascii="Tw Cen MT" w:hAnsi="Tw Cen MT"/>
          <w:i/>
          <w:sz w:val="20"/>
          <w:u w:val="single"/>
        </w:rPr>
        <w:t>Journal Publications</w:t>
      </w:r>
    </w:p>
    <w:p w14:paraId="75D1732C" w14:textId="1D545CD6" w:rsidR="0082004F" w:rsidRDefault="0082004F" w:rsidP="004A1CE4">
      <w:pPr>
        <w:spacing w:afterLines="40" w:after="96" w:line="264" w:lineRule="auto"/>
        <w:ind w:left="792" w:hanging="648"/>
        <w:rPr>
          <w:rFonts w:ascii="Tw Cen MT" w:hAnsi="Tw Cen MT"/>
          <w:sz w:val="20"/>
        </w:rPr>
      </w:pPr>
      <w:r w:rsidRPr="0082004F">
        <w:rPr>
          <w:rFonts w:ascii="Tw Cen MT" w:hAnsi="Tw Cen MT"/>
          <w:sz w:val="20"/>
        </w:rPr>
        <w:t>Torres, Jose Antonio Garrido, Sii Hong Lau, Pranay Anchuri, Jason M. Stevens, Jose E. Tabora, Jun Li, Alina Borovika, Ryan P. Adams, and Abigail G. Doyle. "A Multi-Objective Active Learning Platform and Web App for Reaction Optimization." Journal of the American Chemical Society 144, no. 43 (2022): 19999-20007.</w:t>
      </w:r>
    </w:p>
    <w:p w14:paraId="03895827" w14:textId="77777777" w:rsidR="0082004F" w:rsidRDefault="0082004F" w:rsidP="004A1CE4">
      <w:pPr>
        <w:spacing w:afterLines="40" w:after="96" w:line="264" w:lineRule="auto"/>
        <w:ind w:left="792" w:hanging="648"/>
        <w:rPr>
          <w:rFonts w:ascii="Tw Cen MT" w:hAnsi="Tw Cen MT"/>
          <w:sz w:val="20"/>
        </w:rPr>
      </w:pPr>
      <w:r w:rsidRPr="0082004F">
        <w:rPr>
          <w:rFonts w:ascii="Tw Cen MT" w:hAnsi="Tw Cen MT"/>
          <w:sz w:val="20"/>
        </w:rPr>
        <w:t>Pons-Siepermann, Carlos, Benjamin Cohen, J. E. Tabora, Kelvin Jones, Dimitri Skliar, Patricia Cho, and Christopher R. Wilbert. "Implementation of MSMPR Crystallization to Avoid Liquid–Liquid Phase Separation." Organic Process Research &amp; Development 26, no. 10 (2022): 2847-2854.</w:t>
      </w:r>
    </w:p>
    <w:p w14:paraId="0613BC83" w14:textId="189E149C" w:rsidR="0005079E" w:rsidRPr="0052126E" w:rsidRDefault="0005079E" w:rsidP="004A1CE4">
      <w:pPr>
        <w:spacing w:afterLines="40" w:after="96" w:line="264" w:lineRule="auto"/>
        <w:ind w:left="792" w:hanging="648"/>
        <w:rPr>
          <w:rFonts w:ascii="Tw Cen MT" w:hAnsi="Tw Cen MT"/>
          <w:sz w:val="20"/>
        </w:rPr>
      </w:pPr>
      <w:r w:rsidRPr="0052126E">
        <w:rPr>
          <w:rFonts w:ascii="Tw Cen MT" w:hAnsi="Tw Cen MT"/>
          <w:sz w:val="20"/>
        </w:rPr>
        <w:t>Sezen-Edmonds, Melda, Jose E. Tabora, Benjamin M. Cohen, Serge Zaretsky, Eric M. Simmons, Trevor C. Sherwood, and Antonio Ramirez. "Predicting performance of photochemical transformations for scaling up in different platforms by combining high-throughput experimentation with computational modeling." Organic Process Research &amp; Development 24, no. 10 (2020): 2128-2138.</w:t>
      </w:r>
    </w:p>
    <w:p w14:paraId="1D7E2D7B" w14:textId="7FE16CB1" w:rsidR="009E0A82" w:rsidRPr="0052126E" w:rsidRDefault="009E0A82" w:rsidP="004A1CE4">
      <w:pPr>
        <w:spacing w:afterLines="40" w:after="96" w:line="264" w:lineRule="auto"/>
        <w:ind w:left="792" w:hanging="648"/>
        <w:rPr>
          <w:rFonts w:ascii="Tw Cen MT" w:hAnsi="Tw Cen MT"/>
          <w:sz w:val="20"/>
        </w:rPr>
      </w:pPr>
      <w:r w:rsidRPr="0052126E">
        <w:rPr>
          <w:rFonts w:ascii="Tw Cen MT" w:hAnsi="Tw Cen MT"/>
          <w:sz w:val="20"/>
        </w:rPr>
        <w:t>Tabora, Jose E., Federico Lora Gonzalez, and Jean W. Tom. "Bayesian probabilistic modeling in pharmaceutical process development." AIChE Journal 2019.</w:t>
      </w:r>
    </w:p>
    <w:p w14:paraId="104CBB82" w14:textId="5828AEAB" w:rsidR="009E0A82" w:rsidRPr="0052126E" w:rsidRDefault="009E0A82" w:rsidP="004A1CE4">
      <w:pPr>
        <w:spacing w:afterLines="40" w:after="96" w:line="264" w:lineRule="auto"/>
        <w:ind w:left="792" w:hanging="648"/>
        <w:rPr>
          <w:rFonts w:ascii="Tw Cen MT" w:hAnsi="Tw Cen MT"/>
          <w:sz w:val="20"/>
        </w:rPr>
      </w:pPr>
      <w:r w:rsidRPr="0052126E">
        <w:rPr>
          <w:rFonts w:ascii="Tw Cen MT" w:hAnsi="Tw Cen MT"/>
          <w:sz w:val="20"/>
        </w:rPr>
        <w:t>La Cruz, Thomas E., Thiago C. Carvalho, Antonio Ramírez, and José E. Tábora. "Implementation of a mathematical model for the photochemical kinetics of a solid form active pharmaceutical ingredient." International journal of pharmaceutics 566 (2019): 500-512.</w:t>
      </w:r>
    </w:p>
    <w:p w14:paraId="2BC1B2A9" w14:textId="63A3C345" w:rsidR="003A0632" w:rsidRPr="0052126E" w:rsidRDefault="003A0632" w:rsidP="004A1CE4">
      <w:pPr>
        <w:spacing w:afterLines="40" w:after="96" w:line="264" w:lineRule="auto"/>
        <w:ind w:left="792" w:hanging="648"/>
        <w:rPr>
          <w:rFonts w:ascii="Tw Cen MT" w:hAnsi="Tw Cen MT"/>
          <w:sz w:val="20"/>
        </w:rPr>
      </w:pPr>
      <w:r w:rsidRPr="0052126E">
        <w:rPr>
          <w:rFonts w:ascii="Tw Cen MT" w:hAnsi="Tw Cen MT"/>
          <w:sz w:val="20"/>
        </w:rPr>
        <w:t>Gonzalez, Federico Lora, Jose E. Tabora, Eric C. Huang, Steven R. Wisniewski, Ronald Carrasquillo-Flores, Thomas Razler, and Brendan Mack. "Development and Implementation of a Quality Control Strategy for an Atropisomer Impurity Grounded in a Risk-Based Probabilistic Design Space." Organic Process Research &amp; Development 23, no. 2 (2019): 211-219.</w:t>
      </w:r>
    </w:p>
    <w:p w14:paraId="4A2F76B9" w14:textId="7C853639" w:rsidR="00DE095E" w:rsidRPr="0052126E" w:rsidRDefault="00DE095E" w:rsidP="004A1CE4">
      <w:pPr>
        <w:spacing w:afterLines="40" w:after="96" w:line="264" w:lineRule="auto"/>
        <w:ind w:left="792" w:hanging="648"/>
        <w:rPr>
          <w:rFonts w:ascii="Tw Cen MT" w:hAnsi="Tw Cen MT"/>
          <w:sz w:val="20"/>
        </w:rPr>
      </w:pPr>
      <w:r w:rsidRPr="0052126E">
        <w:rPr>
          <w:rFonts w:ascii="Tw Cen MT" w:hAnsi="Tw Cen MT"/>
          <w:sz w:val="20"/>
        </w:rPr>
        <w:t xml:space="preserve">Carvalho, T.C.; La Cruz, T.E.; Tabora, J.E. A photochemical kinetic model for solid dosage forms. </w:t>
      </w:r>
      <w:r w:rsidRPr="0052126E">
        <w:rPr>
          <w:rFonts w:ascii="Tw Cen MT" w:hAnsi="Tw Cen MT"/>
          <w:i/>
          <w:sz w:val="20"/>
        </w:rPr>
        <w:t>Eur. J. Pharm. Biopharm</w:t>
      </w:r>
      <w:r w:rsidRPr="0052126E">
        <w:rPr>
          <w:rFonts w:ascii="Tw Cen MT" w:hAnsi="Tw Cen MT"/>
          <w:sz w:val="20"/>
        </w:rPr>
        <w:t xml:space="preserve">. 2017, 120, 63-72. </w:t>
      </w:r>
    </w:p>
    <w:p w14:paraId="4A2F76BA" w14:textId="77777777" w:rsidR="00DE095E" w:rsidRPr="0052126E" w:rsidRDefault="00DE095E" w:rsidP="004A1CE4">
      <w:pPr>
        <w:spacing w:afterLines="40" w:after="96" w:line="264" w:lineRule="auto"/>
        <w:ind w:left="792" w:hanging="648"/>
        <w:rPr>
          <w:rFonts w:ascii="Tw Cen MT" w:hAnsi="Tw Cen MT"/>
          <w:sz w:val="20"/>
        </w:rPr>
      </w:pPr>
      <w:r w:rsidRPr="0052126E">
        <w:rPr>
          <w:rFonts w:ascii="Tw Cen MT" w:hAnsi="Tw Cen MT"/>
          <w:sz w:val="20"/>
        </w:rPr>
        <w:t xml:space="preserve">Tabora, J.E.; Domagalski, N.R. Multivariate Analysis and Statistics in Pharmaceutical Process Research and Development. </w:t>
      </w:r>
      <w:r w:rsidRPr="0052126E">
        <w:rPr>
          <w:rFonts w:ascii="Tw Cen MT" w:hAnsi="Tw Cen MT"/>
          <w:i/>
          <w:sz w:val="20"/>
        </w:rPr>
        <w:t>Annu. Rev. Chem. Biomol. Eng.</w:t>
      </w:r>
      <w:r w:rsidRPr="0052126E">
        <w:rPr>
          <w:rFonts w:ascii="Tw Cen MT" w:hAnsi="Tw Cen MT"/>
          <w:sz w:val="20"/>
        </w:rPr>
        <w:t xml:space="preserve"> 2017, 8, 403-426.</w:t>
      </w:r>
    </w:p>
    <w:p w14:paraId="4A2F76BB" w14:textId="77777777" w:rsidR="00DE095E" w:rsidRPr="0052126E" w:rsidRDefault="00DE095E" w:rsidP="004A1CE4">
      <w:pPr>
        <w:spacing w:afterLines="40" w:after="96" w:line="264" w:lineRule="auto"/>
        <w:ind w:left="792" w:hanging="648"/>
        <w:rPr>
          <w:rFonts w:ascii="Tw Cen MT" w:hAnsi="Tw Cen MT"/>
          <w:sz w:val="20"/>
        </w:rPr>
      </w:pPr>
      <w:r w:rsidRPr="0052126E">
        <w:rPr>
          <w:rFonts w:ascii="Tw Cen MT" w:hAnsi="Tw Cen MT"/>
          <w:sz w:val="20"/>
        </w:rPr>
        <w:t xml:space="preserve">Domagalski, N.R.; Mack, B.C.; Tabora, J.E. Analysis of Design of Experiments with Dynamic Responses. </w:t>
      </w:r>
      <w:r w:rsidRPr="0052126E">
        <w:rPr>
          <w:rFonts w:ascii="Tw Cen MT" w:hAnsi="Tw Cen MT"/>
          <w:i/>
          <w:sz w:val="20"/>
        </w:rPr>
        <w:t>Org. Proc. Res. Dev</w:t>
      </w:r>
      <w:r w:rsidRPr="0052126E">
        <w:rPr>
          <w:rFonts w:ascii="Tw Cen MT" w:hAnsi="Tw Cen MT"/>
          <w:sz w:val="20"/>
        </w:rPr>
        <w:t>. 2015, 19(11), 1667–1682.</w:t>
      </w:r>
    </w:p>
    <w:p w14:paraId="0B112B7B" w14:textId="19C7F628" w:rsidR="004B4C93" w:rsidRPr="0052126E" w:rsidRDefault="00DE095E" w:rsidP="004B4C93">
      <w:pPr>
        <w:spacing w:afterLines="40" w:after="96" w:line="264" w:lineRule="auto"/>
        <w:ind w:left="792" w:hanging="648"/>
        <w:rPr>
          <w:rFonts w:ascii="Tw Cen MT" w:hAnsi="Tw Cen MT"/>
          <w:sz w:val="20"/>
        </w:rPr>
      </w:pPr>
      <w:r w:rsidRPr="0052126E">
        <w:rPr>
          <w:rFonts w:ascii="Tw Cen MT" w:hAnsi="Tw Cen MT"/>
          <w:sz w:val="20"/>
        </w:rPr>
        <w:t xml:space="preserve">Tabora, J.E. Data Driven Modelling and Control of Batch Processes in the Pharmaceutical Industry. In </w:t>
      </w:r>
      <w:r w:rsidRPr="0052126E">
        <w:rPr>
          <w:rFonts w:ascii="Tw Cen MT" w:hAnsi="Tw Cen MT"/>
          <w:i/>
          <w:sz w:val="20"/>
        </w:rPr>
        <w:t>Proceedings of the 8th IFAC Symposium on Advanced Control of Chemical Processes</w:t>
      </w:r>
      <w:r w:rsidRPr="0052126E">
        <w:rPr>
          <w:rFonts w:ascii="Tw Cen MT" w:hAnsi="Tw Cen MT"/>
          <w:sz w:val="20"/>
        </w:rPr>
        <w:t xml:space="preserve">, Singapore, Jul 10-13, 2012. </w:t>
      </w:r>
      <w:hyperlink r:id="rId11" w:history="1">
        <w:r w:rsidRPr="0052126E">
          <w:rPr>
            <w:rStyle w:val="Hyperlink"/>
            <w:rFonts w:ascii="Tw Cen MT" w:hAnsi="Tw Cen MT"/>
            <w:sz w:val="20"/>
          </w:rPr>
          <w:t>http://www.nt.ntnu.no/users/skoge/prost/proceedings/adchem-2012/files/0204.pdf</w:t>
        </w:r>
      </w:hyperlink>
      <w:r w:rsidRPr="0052126E">
        <w:rPr>
          <w:rFonts w:ascii="Tw Cen MT" w:hAnsi="Tw Cen MT"/>
          <w:sz w:val="20"/>
        </w:rPr>
        <w:t xml:space="preserve"> </w:t>
      </w:r>
    </w:p>
    <w:p w14:paraId="2CBDC4E8" w14:textId="4C1257AD"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Murugesan S., D. Hallow, J. Vernille, J. Tom and J. E. Tabora Lean Filtration – Approaches for the Estimation of Cake Properties and the Prediction of Filtration Performance On-scale, Org. Proc. Res &amp; Devlop., 16 (1), pp 42–48 2012</w:t>
      </w:r>
    </w:p>
    <w:p w14:paraId="0737CD1B"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Hallow, D.M., Mudryk, B.M., Braem, A.D., Tabora, J.E., Lyngberg, O.K., Bergum, J.S., Rossano, L.T., Tummala, S., An example of utilizing mechanistic and empirical modeling in quality by design; Journal of Pharmaceutical Innovation 5 (4), 193-203 2010</w:t>
      </w:r>
    </w:p>
    <w:p w14:paraId="3A7CB38A"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J. E. Tabora, J. Corry, R. Osifchin, and J. Lepore; Identification and Characterization of an Anomalous Journal of Fluid Phase Equilibria.258, 140-147 2007</w:t>
      </w:r>
    </w:p>
    <w:p w14:paraId="5D00909F" w14:textId="652EA688"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Hsien-Hsin Tung, Jose E. Tabora, Nara Variankaval, Daniel Bakken and Chau-Chyun Chen, Prediction of pharmaceutical solubility Via NRTL-SAC and COSMO-SAC Journal of Pharmaceutical Sciences 2007</w:t>
      </w:r>
    </w:p>
    <w:p w14:paraId="79B90C49"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G. X. Zhou, L. S. Crocker, J. Xu, J. E. Tabora, and Z. Ge, In-line measurement of a drug substance via near infrared spectroscopy to ensure a robust crystallization process, Journal of Pharmaceutical Sciences 95 2337-2347 2006.</w:t>
      </w:r>
    </w:p>
    <w:p w14:paraId="4B193545"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H. H.Tung, J. E. Tabora, N. Variankaval, D. Bakken, and C. C. Chen; Prediction of pharmaceuticals Solubility via NRTL-SAC and COSMO-RS. Proceedings of the Industrial Crystallization 16th International Symposium (ISIC), Dresden, Germany  September 2005</w:t>
      </w:r>
    </w:p>
    <w:p w14:paraId="211D6F83"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lastRenderedPageBreak/>
        <w:t>U. K. Singh, G. Spencer, R. Osifchin, J. E. Tabora, O. A. Davidson, and C. J. Orella, Incorporation and Characterization of a Mixing Elbow on the Pilot Plant Scale for a Mixing Sensitive Crystallization of an API, Ind. Eng. Chem Res. 44 4068-4074 2005</w:t>
      </w:r>
    </w:p>
    <w:p w14:paraId="014BA718"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J. E. Tabora and R. J. Davis, On The Superacidity of Sulfated Zirconia Catalysts for Low-Temperature Isomerization of Butane, J. Am. Chem. Soc. 48 12240-12241 1996</w:t>
      </w:r>
    </w:p>
    <w:p w14:paraId="4E560787"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J. E. Tabora and R. J. Davis, The Role of Transition Metal Promoters on Sulfated Zirconia Catalysts for Low-temperature Butane Isomerization, J. Catal. 162 125-133 1996</w:t>
      </w:r>
    </w:p>
    <w:p w14:paraId="556BAEA5"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R. J. Davis, Z. Liu, J. E. Tabora, and W. S. Wieland, X-ray Absorption Spectroscopy of Ti-containing Molecular Sieves ETS-10, Aluminum-Free Ti-ß, and TS-1, Cat. Lett. 34 101-113 1995</w:t>
      </w:r>
    </w:p>
    <w:p w14:paraId="1F17C4C3"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J. E. Tabora and R. J. Davis, Structure of Fe, Mn-Promoted Sulfated Zirconia Catalyst by X-Ray and IR Adsorption Spectroscopies, J. Chem. Soc. Faraday Trans. 91 1825-1833 1995</w:t>
      </w:r>
    </w:p>
    <w:p w14:paraId="6DE437FE"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Z. Liu, J. E. Tabora, and R. J. Davis, Relationships between Microstructure and Surface Acidity of Ti-Si Mixed Oxide Catalysts, J. Catal. 149 117-126 1994</w:t>
      </w:r>
    </w:p>
    <w:p w14:paraId="6744EC3B" w14:textId="77777777" w:rsidR="004B4C93" w:rsidRPr="0052126E" w:rsidRDefault="004B4C93" w:rsidP="004B4C93">
      <w:pPr>
        <w:spacing w:afterLines="40" w:after="96" w:line="264" w:lineRule="auto"/>
        <w:ind w:left="792" w:hanging="648"/>
        <w:rPr>
          <w:rFonts w:ascii="Tw Cen MT" w:hAnsi="Tw Cen MT"/>
          <w:sz w:val="20"/>
        </w:rPr>
      </w:pPr>
      <w:r w:rsidRPr="0052126E">
        <w:rPr>
          <w:rFonts w:ascii="Tw Cen MT" w:hAnsi="Tw Cen MT"/>
          <w:sz w:val="20"/>
        </w:rPr>
        <w:t>J. L. Hudson, J. E. Tabora, K. Krischer, and I. G. Kevrekidis, Spatiotemporal Period Doubling during the Electrodissolution of Iron, Phys. Lett. A 179 355-363 1993</w:t>
      </w:r>
    </w:p>
    <w:p w14:paraId="7AB617EC" w14:textId="77777777" w:rsidR="004B4C93" w:rsidRPr="00881647" w:rsidRDefault="004B4C93" w:rsidP="004A1CE4">
      <w:pPr>
        <w:spacing w:afterLines="40" w:after="96" w:line="264" w:lineRule="auto"/>
        <w:ind w:left="792" w:hanging="648"/>
        <w:rPr>
          <w:rFonts w:ascii="Tw Cen MT" w:hAnsi="Tw Cen MT"/>
          <w:sz w:val="20"/>
        </w:rPr>
      </w:pPr>
    </w:p>
    <w:p w14:paraId="4A2F76BF" w14:textId="1586E42B" w:rsidR="00DE095E" w:rsidRPr="00881647" w:rsidRDefault="00DE095E" w:rsidP="004A1CE4">
      <w:pPr>
        <w:spacing w:afterLines="40" w:after="96"/>
        <w:jc w:val="center"/>
        <w:rPr>
          <w:rFonts w:ascii="Tw Cen MT" w:hAnsi="Tw Cen MT"/>
          <w:i/>
          <w:sz w:val="20"/>
          <w:u w:val="single"/>
        </w:rPr>
      </w:pPr>
      <w:r w:rsidRPr="00881647">
        <w:rPr>
          <w:rFonts w:ascii="Tw Cen MT" w:hAnsi="Tw Cen MT"/>
          <w:i/>
          <w:sz w:val="20"/>
          <w:u w:val="single"/>
        </w:rPr>
        <w:t>Conference Presentations</w:t>
      </w:r>
      <w:r w:rsidR="00C606EA">
        <w:rPr>
          <w:rFonts w:ascii="Tw Cen MT" w:hAnsi="Tw Cen MT"/>
          <w:i/>
          <w:sz w:val="20"/>
          <w:u w:val="single"/>
        </w:rPr>
        <w:t xml:space="preserve"> (*) Invited</w:t>
      </w:r>
    </w:p>
    <w:p w14:paraId="65AA7487" w14:textId="389D8389" w:rsidR="00852820" w:rsidRDefault="00852820" w:rsidP="00852820">
      <w:pPr>
        <w:spacing w:afterLines="40" w:after="96" w:line="264" w:lineRule="auto"/>
        <w:ind w:left="792" w:hanging="648"/>
        <w:rPr>
          <w:rFonts w:ascii="Tw Cen MT" w:hAnsi="Tw Cen MT"/>
          <w:sz w:val="20"/>
        </w:rPr>
      </w:pPr>
      <w:r w:rsidRPr="0052126E">
        <w:rPr>
          <w:rFonts w:ascii="Tw Cen MT" w:hAnsi="Tw Cen MT"/>
          <w:sz w:val="20"/>
        </w:rPr>
        <w:t>*Tabora,</w:t>
      </w:r>
      <w:r>
        <w:rPr>
          <w:rFonts w:ascii="Tw Cen MT" w:hAnsi="Tw Cen MT"/>
          <w:sz w:val="20"/>
        </w:rPr>
        <w:t xml:space="preserve"> J. E.</w:t>
      </w:r>
      <w:r w:rsidRPr="0052126E">
        <w:rPr>
          <w:rFonts w:ascii="Tw Cen MT" w:hAnsi="Tw Cen MT"/>
          <w:sz w:val="20"/>
        </w:rPr>
        <w:t xml:space="preserve"> </w:t>
      </w:r>
      <w:r w:rsidRPr="00852820">
        <w:rPr>
          <w:rFonts w:ascii="Tw Cen MT" w:hAnsi="Tw Cen MT"/>
          <w:sz w:val="20"/>
        </w:rPr>
        <w:t>On the Evolution of Modeling in Pharmaceutical Development</w:t>
      </w:r>
      <w:r>
        <w:rPr>
          <w:rFonts w:ascii="Tw Cen MT" w:hAnsi="Tw Cen MT"/>
          <w:sz w:val="20"/>
        </w:rPr>
        <w:t>. Presented at</w:t>
      </w:r>
      <w:r w:rsidRPr="0052126E">
        <w:rPr>
          <w:rFonts w:ascii="Tw Cen MT" w:hAnsi="Tw Cen MT"/>
          <w:sz w:val="20"/>
        </w:rPr>
        <w:t xml:space="preserve"> </w:t>
      </w:r>
      <w:r w:rsidRPr="00852820">
        <w:rPr>
          <w:rFonts w:ascii="Tw Cen MT" w:hAnsi="Tw Cen MT"/>
          <w:sz w:val="20"/>
        </w:rPr>
        <w:t>Foundations of Molecular Modeling and Simulation</w:t>
      </w:r>
      <w:r>
        <w:rPr>
          <w:rFonts w:ascii="Tw Cen MT" w:hAnsi="Tw Cen MT"/>
          <w:sz w:val="20"/>
        </w:rPr>
        <w:t xml:space="preserve"> Delavan, WI, July 2022</w:t>
      </w:r>
    </w:p>
    <w:p w14:paraId="16345B30" w14:textId="5B54F792" w:rsidR="0082004F" w:rsidRDefault="00015F2C" w:rsidP="00852820">
      <w:pPr>
        <w:spacing w:afterLines="40" w:after="96" w:line="264" w:lineRule="auto"/>
        <w:ind w:left="792" w:hanging="648"/>
        <w:rPr>
          <w:rFonts w:ascii="Tw Cen MT" w:hAnsi="Tw Cen MT"/>
          <w:sz w:val="20"/>
        </w:rPr>
      </w:pPr>
      <w:r w:rsidRPr="0052126E">
        <w:rPr>
          <w:rFonts w:ascii="Tw Cen MT" w:hAnsi="Tw Cen MT"/>
          <w:sz w:val="20"/>
        </w:rPr>
        <w:t>*Tabora,</w:t>
      </w:r>
      <w:r w:rsidR="00852820">
        <w:rPr>
          <w:rFonts w:ascii="Tw Cen MT" w:hAnsi="Tw Cen MT"/>
          <w:sz w:val="20"/>
        </w:rPr>
        <w:t xml:space="preserve"> J. E.</w:t>
      </w:r>
      <w:r w:rsidRPr="0052126E">
        <w:rPr>
          <w:rFonts w:ascii="Tw Cen MT" w:hAnsi="Tw Cen MT"/>
          <w:sz w:val="20"/>
        </w:rPr>
        <w:t xml:space="preserve"> </w:t>
      </w:r>
      <w:r w:rsidR="00852820" w:rsidRPr="00852820">
        <w:rPr>
          <w:rFonts w:ascii="Tw Cen MT" w:hAnsi="Tw Cen MT"/>
          <w:sz w:val="20"/>
        </w:rPr>
        <w:t>The Evolution of Digital Data and Modeling in Pharmaceutical Development</w:t>
      </w:r>
      <w:r w:rsidR="00852820">
        <w:rPr>
          <w:rFonts w:ascii="Tw Cen MT" w:hAnsi="Tw Cen MT"/>
          <w:sz w:val="20"/>
        </w:rPr>
        <w:t>. Presented at</w:t>
      </w:r>
      <w:r w:rsidRPr="0052126E">
        <w:rPr>
          <w:rFonts w:ascii="Tw Cen MT" w:hAnsi="Tw Cen MT"/>
          <w:sz w:val="20"/>
        </w:rPr>
        <w:t xml:space="preserve"> </w:t>
      </w:r>
      <w:r w:rsidRPr="00015F2C">
        <w:rPr>
          <w:rFonts w:ascii="Tw Cen MT" w:hAnsi="Tw Cen MT"/>
          <w:sz w:val="20"/>
        </w:rPr>
        <w:t xml:space="preserve">The 17th New Pharmaceutical Technology and Engineering Conference </w:t>
      </w:r>
      <w:r w:rsidR="00852820">
        <w:rPr>
          <w:rFonts w:ascii="Tw Cen MT" w:hAnsi="Tw Cen MT"/>
          <w:sz w:val="20"/>
        </w:rPr>
        <w:t xml:space="preserve">Kyoto, </w:t>
      </w:r>
      <w:r>
        <w:rPr>
          <w:rFonts w:ascii="Tw Cen MT" w:hAnsi="Tw Cen MT"/>
          <w:sz w:val="20"/>
        </w:rPr>
        <w:t xml:space="preserve">June </w:t>
      </w:r>
      <w:r w:rsidRPr="00015F2C">
        <w:rPr>
          <w:rFonts w:ascii="Tw Cen MT" w:hAnsi="Tw Cen MT"/>
          <w:sz w:val="20"/>
        </w:rPr>
        <w:t>20</w:t>
      </w:r>
      <w:r>
        <w:rPr>
          <w:rFonts w:ascii="Tw Cen MT" w:hAnsi="Tw Cen MT"/>
          <w:sz w:val="20"/>
        </w:rPr>
        <w:t>21</w:t>
      </w:r>
      <w:r w:rsidR="00852820">
        <w:rPr>
          <w:rFonts w:ascii="Tw Cen MT" w:hAnsi="Tw Cen MT"/>
          <w:sz w:val="20"/>
        </w:rPr>
        <w:t>[Presented remotely due to COVID]</w:t>
      </w:r>
    </w:p>
    <w:p w14:paraId="4D3865C2" w14:textId="487A484C" w:rsidR="00A039B1" w:rsidRPr="0052126E" w:rsidRDefault="0010480F" w:rsidP="004A1CE4">
      <w:pPr>
        <w:spacing w:afterLines="40" w:after="96" w:line="264" w:lineRule="auto"/>
        <w:ind w:left="792" w:hanging="648"/>
        <w:rPr>
          <w:rFonts w:ascii="Tw Cen MT" w:hAnsi="Tw Cen MT"/>
          <w:sz w:val="20"/>
        </w:rPr>
      </w:pPr>
      <w:r w:rsidRPr="0052126E">
        <w:rPr>
          <w:rFonts w:ascii="Tw Cen MT" w:hAnsi="Tw Cen MT"/>
          <w:sz w:val="20"/>
        </w:rPr>
        <w:t>*</w:t>
      </w:r>
      <w:r w:rsidR="00A039B1" w:rsidRPr="0052126E">
        <w:rPr>
          <w:rFonts w:ascii="Tw Cen MT" w:hAnsi="Tw Cen MT"/>
          <w:sz w:val="20"/>
        </w:rPr>
        <w:t xml:space="preserve">Tabora, J.E. </w:t>
      </w:r>
      <w:r w:rsidR="00C606EA" w:rsidRPr="0052126E">
        <w:rPr>
          <w:rFonts w:ascii="Tw Cen MT" w:hAnsi="Tw Cen MT"/>
          <w:sz w:val="20"/>
        </w:rPr>
        <w:t>The Evolution of Digital Data and Modeling in Pharmaceutical Development</w:t>
      </w:r>
      <w:r w:rsidR="00A039B1" w:rsidRPr="0052126E">
        <w:rPr>
          <w:rFonts w:ascii="Tw Cen MT" w:hAnsi="Tw Cen MT"/>
          <w:sz w:val="20"/>
        </w:rPr>
        <w:t xml:space="preserve">. Presented at the </w:t>
      </w:r>
      <w:r w:rsidR="00C606EA" w:rsidRPr="0052126E">
        <w:rPr>
          <w:rFonts w:ascii="Tw Cen MT" w:hAnsi="Tw Cen MT"/>
          <w:sz w:val="20"/>
        </w:rPr>
        <w:t>PD2M Future of Pharmaceutical Manufacturing Workshop</w:t>
      </w:r>
      <w:r w:rsidR="00A039B1" w:rsidRPr="0052126E">
        <w:rPr>
          <w:rFonts w:ascii="Tw Cen MT" w:hAnsi="Tw Cen MT"/>
          <w:sz w:val="20"/>
        </w:rPr>
        <w:t xml:space="preserve">, </w:t>
      </w:r>
      <w:r w:rsidR="00C606EA" w:rsidRPr="0052126E">
        <w:rPr>
          <w:rFonts w:ascii="Tw Cen MT" w:hAnsi="Tw Cen MT"/>
          <w:sz w:val="20"/>
        </w:rPr>
        <w:t>Washington</w:t>
      </w:r>
      <w:r w:rsidR="00A039B1" w:rsidRPr="0052126E">
        <w:rPr>
          <w:rFonts w:ascii="Tw Cen MT" w:hAnsi="Tw Cen MT"/>
          <w:sz w:val="20"/>
        </w:rPr>
        <w:t xml:space="preserve">, </w:t>
      </w:r>
      <w:r w:rsidR="00C606EA" w:rsidRPr="0052126E">
        <w:rPr>
          <w:rFonts w:ascii="Tw Cen MT" w:hAnsi="Tw Cen MT"/>
          <w:sz w:val="20"/>
        </w:rPr>
        <w:t>DC</w:t>
      </w:r>
      <w:r w:rsidR="00A039B1" w:rsidRPr="0052126E">
        <w:rPr>
          <w:rFonts w:ascii="Tw Cen MT" w:hAnsi="Tw Cen MT"/>
          <w:sz w:val="20"/>
        </w:rPr>
        <w:t xml:space="preserve">, </w:t>
      </w:r>
      <w:r w:rsidR="00C606EA" w:rsidRPr="0052126E">
        <w:rPr>
          <w:rFonts w:ascii="Tw Cen MT" w:hAnsi="Tw Cen MT"/>
          <w:sz w:val="20"/>
        </w:rPr>
        <w:t>November</w:t>
      </w:r>
      <w:r w:rsidR="00A039B1" w:rsidRPr="0052126E">
        <w:rPr>
          <w:rFonts w:ascii="Tw Cen MT" w:hAnsi="Tw Cen MT"/>
          <w:sz w:val="20"/>
        </w:rPr>
        <w:t xml:space="preserve"> 2019</w:t>
      </w:r>
    </w:p>
    <w:p w14:paraId="7E8BFE50" w14:textId="1568BDFF" w:rsidR="00A039B1" w:rsidRPr="0052126E" w:rsidRDefault="0010480F" w:rsidP="004A1CE4">
      <w:pPr>
        <w:spacing w:afterLines="40" w:after="96" w:line="264" w:lineRule="auto"/>
        <w:ind w:left="792" w:hanging="648"/>
        <w:rPr>
          <w:rFonts w:ascii="Tw Cen MT" w:hAnsi="Tw Cen MT"/>
          <w:sz w:val="20"/>
        </w:rPr>
      </w:pPr>
      <w:r w:rsidRPr="0052126E">
        <w:rPr>
          <w:rFonts w:ascii="Tw Cen MT" w:hAnsi="Tw Cen MT"/>
          <w:sz w:val="20"/>
        </w:rPr>
        <w:t>*</w:t>
      </w:r>
      <w:r w:rsidR="00C606EA" w:rsidRPr="0052126E">
        <w:rPr>
          <w:rFonts w:ascii="Tw Cen MT" w:hAnsi="Tw Cen MT"/>
          <w:sz w:val="20"/>
        </w:rPr>
        <w:t xml:space="preserve">Tom, Jean and </w:t>
      </w:r>
      <w:r w:rsidR="00A039B1" w:rsidRPr="0052126E">
        <w:rPr>
          <w:rFonts w:ascii="Tw Cen MT" w:hAnsi="Tw Cen MT"/>
          <w:sz w:val="20"/>
        </w:rPr>
        <w:t xml:space="preserve">J.E. </w:t>
      </w:r>
      <w:r w:rsidR="00C606EA" w:rsidRPr="0052126E">
        <w:rPr>
          <w:rFonts w:ascii="Tw Cen MT" w:hAnsi="Tw Cen MT"/>
          <w:sz w:val="20"/>
        </w:rPr>
        <w:t xml:space="preserve">Tabora, Approaches to Knowledge Management and Data Transformations in Pharmaceutical Process Invention. </w:t>
      </w:r>
      <w:r w:rsidR="00A039B1" w:rsidRPr="0052126E">
        <w:rPr>
          <w:rFonts w:ascii="Tw Cen MT" w:hAnsi="Tw Cen MT"/>
          <w:sz w:val="20"/>
        </w:rPr>
        <w:t xml:space="preserve">Presented at the AIChE Annual Meeting, </w:t>
      </w:r>
      <w:r w:rsidR="00C606EA" w:rsidRPr="0052126E">
        <w:rPr>
          <w:rFonts w:ascii="Tw Cen MT" w:hAnsi="Tw Cen MT"/>
          <w:sz w:val="20"/>
        </w:rPr>
        <w:t>Orlando</w:t>
      </w:r>
      <w:r w:rsidR="00A039B1" w:rsidRPr="0052126E">
        <w:rPr>
          <w:rFonts w:ascii="Tw Cen MT" w:hAnsi="Tw Cen MT"/>
          <w:sz w:val="20"/>
        </w:rPr>
        <w:t xml:space="preserve">, </w:t>
      </w:r>
      <w:r w:rsidR="00C606EA" w:rsidRPr="0052126E">
        <w:rPr>
          <w:rFonts w:ascii="Tw Cen MT" w:hAnsi="Tw Cen MT"/>
          <w:sz w:val="20"/>
        </w:rPr>
        <w:t>FL</w:t>
      </w:r>
      <w:r w:rsidR="00A039B1" w:rsidRPr="0052126E">
        <w:rPr>
          <w:rFonts w:ascii="Tw Cen MT" w:hAnsi="Tw Cen MT"/>
          <w:sz w:val="20"/>
        </w:rPr>
        <w:t xml:space="preserve">, </w:t>
      </w:r>
      <w:r w:rsidR="00C606EA" w:rsidRPr="0052126E">
        <w:rPr>
          <w:rFonts w:ascii="Tw Cen MT" w:hAnsi="Tw Cen MT"/>
          <w:sz w:val="20"/>
        </w:rPr>
        <w:t>November</w:t>
      </w:r>
      <w:r w:rsidR="00A039B1" w:rsidRPr="0052126E">
        <w:rPr>
          <w:rFonts w:ascii="Tw Cen MT" w:hAnsi="Tw Cen MT"/>
          <w:sz w:val="20"/>
        </w:rPr>
        <w:t xml:space="preserve"> 201</w:t>
      </w:r>
      <w:r w:rsidRPr="0052126E">
        <w:rPr>
          <w:rFonts w:ascii="Tw Cen MT" w:hAnsi="Tw Cen MT"/>
          <w:sz w:val="20"/>
        </w:rPr>
        <w:t>9</w:t>
      </w:r>
    </w:p>
    <w:p w14:paraId="4A2F76C0" w14:textId="19C235E9" w:rsidR="00DE095E" w:rsidRPr="0052126E" w:rsidRDefault="00DE095E" w:rsidP="004A1CE4">
      <w:pPr>
        <w:spacing w:afterLines="40" w:after="96" w:line="264" w:lineRule="auto"/>
        <w:ind w:left="792" w:hanging="648"/>
        <w:rPr>
          <w:rFonts w:ascii="Tw Cen MT" w:hAnsi="Tw Cen MT"/>
          <w:sz w:val="20"/>
        </w:rPr>
      </w:pPr>
      <w:r w:rsidRPr="0052126E">
        <w:rPr>
          <w:rFonts w:ascii="Tw Cen MT" w:hAnsi="Tw Cen MT"/>
          <w:sz w:val="20"/>
        </w:rPr>
        <w:t>Tabora, J.E. Photochemical Models for Pharmaceutical Development Applications. Presented at the AIChE Annual Meeting, Pittsburgh, P</w:t>
      </w:r>
      <w:r w:rsidR="0010480F" w:rsidRPr="0052126E">
        <w:rPr>
          <w:rFonts w:ascii="Tw Cen MT" w:hAnsi="Tw Cen MT"/>
          <w:sz w:val="20"/>
        </w:rPr>
        <w:t>A, October 2018</w:t>
      </w:r>
    </w:p>
    <w:p w14:paraId="4A2F76C1" w14:textId="7ABAD9A6" w:rsidR="00DE095E" w:rsidRPr="0052126E" w:rsidRDefault="00DE095E" w:rsidP="004A1CE4">
      <w:pPr>
        <w:spacing w:afterLines="40" w:after="96" w:line="264" w:lineRule="auto"/>
        <w:ind w:left="792" w:hanging="648"/>
        <w:rPr>
          <w:rFonts w:ascii="Tw Cen MT" w:hAnsi="Tw Cen MT"/>
          <w:sz w:val="20"/>
        </w:rPr>
      </w:pPr>
      <w:r w:rsidRPr="0052126E">
        <w:rPr>
          <w:rFonts w:ascii="Tw Cen MT" w:hAnsi="Tw Cen MT"/>
          <w:sz w:val="20"/>
        </w:rPr>
        <w:t>Tabora, J.E. Mathematical models for the stability of atropisomer forming drug substance in a SDD formulation. Presented at the AIChE Annual Meetin</w:t>
      </w:r>
      <w:r w:rsidR="0010480F" w:rsidRPr="0052126E">
        <w:rPr>
          <w:rFonts w:ascii="Tw Cen MT" w:hAnsi="Tw Cen MT"/>
          <w:sz w:val="20"/>
        </w:rPr>
        <w:t>g, Pittsburgh, PA, October 2018</w:t>
      </w:r>
    </w:p>
    <w:p w14:paraId="4A2F76C2" w14:textId="0B9FA38D" w:rsidR="00DE095E" w:rsidRPr="0052126E" w:rsidRDefault="00DE095E" w:rsidP="004A1CE4">
      <w:pPr>
        <w:spacing w:afterLines="40" w:after="96" w:line="264" w:lineRule="auto"/>
        <w:ind w:left="792" w:hanging="648"/>
        <w:rPr>
          <w:rFonts w:ascii="Tw Cen MT" w:hAnsi="Tw Cen MT"/>
          <w:sz w:val="20"/>
        </w:rPr>
      </w:pPr>
      <w:r w:rsidRPr="0052126E">
        <w:rPr>
          <w:rFonts w:ascii="Tw Cen MT" w:hAnsi="Tw Cen MT"/>
          <w:sz w:val="20"/>
        </w:rPr>
        <w:t xml:space="preserve">Tabora, J.E. Implementation of a Monte Carlo Population Balance Model in the Development of Pharmaceutical Batch Crystallizations. Presented at the 20th International Symposium on Industrial Crystallization, </w:t>
      </w:r>
      <w:r w:rsidR="0010480F" w:rsidRPr="0052126E">
        <w:rPr>
          <w:rFonts w:ascii="Tw Cen MT" w:hAnsi="Tw Cen MT"/>
          <w:sz w:val="20"/>
        </w:rPr>
        <w:t>Dublin, Ireland, September 2017</w:t>
      </w:r>
    </w:p>
    <w:p w14:paraId="4A2F76C3" w14:textId="6372F388" w:rsidR="00DE095E" w:rsidRPr="0052126E" w:rsidRDefault="0010480F" w:rsidP="004A1CE4">
      <w:pPr>
        <w:spacing w:afterLines="40" w:after="96" w:line="264" w:lineRule="auto"/>
        <w:ind w:left="792" w:hanging="648"/>
        <w:rPr>
          <w:rFonts w:ascii="Tw Cen MT" w:hAnsi="Tw Cen MT"/>
          <w:sz w:val="20"/>
        </w:rPr>
      </w:pPr>
      <w:r w:rsidRPr="0052126E">
        <w:rPr>
          <w:rFonts w:ascii="Tw Cen MT" w:hAnsi="Tw Cen MT"/>
          <w:sz w:val="20"/>
        </w:rPr>
        <w:t>*</w:t>
      </w:r>
      <w:r w:rsidR="00DE095E" w:rsidRPr="0052126E">
        <w:rPr>
          <w:rFonts w:ascii="Tw Cen MT" w:hAnsi="Tw Cen MT"/>
          <w:sz w:val="20"/>
        </w:rPr>
        <w:t>Tabora, J.E. Utilization of DoE, data visualization, modeling and simulation tools for process and control strategy development. Invited Talk presented at the FDA, Center for Drug Evaluation and Research (CDER), Office of Pharmaceutical Quality (OPQ) Drug Quality For</w:t>
      </w:r>
      <w:r w:rsidRPr="0052126E">
        <w:rPr>
          <w:rFonts w:ascii="Tw Cen MT" w:hAnsi="Tw Cen MT"/>
          <w:sz w:val="20"/>
        </w:rPr>
        <w:t>um, Washington, DC, August 2015</w:t>
      </w:r>
    </w:p>
    <w:p w14:paraId="4A2F76C4" w14:textId="31B2CE3F" w:rsidR="00DE095E" w:rsidRPr="0052126E" w:rsidRDefault="00DE095E" w:rsidP="004A1CE4">
      <w:pPr>
        <w:spacing w:afterLines="40" w:after="96" w:line="264" w:lineRule="auto"/>
        <w:ind w:left="792" w:hanging="648"/>
        <w:rPr>
          <w:rFonts w:ascii="Tw Cen MT" w:hAnsi="Tw Cen MT"/>
          <w:sz w:val="20"/>
        </w:rPr>
      </w:pPr>
      <w:r w:rsidRPr="0052126E">
        <w:rPr>
          <w:rFonts w:ascii="Tw Cen MT" w:hAnsi="Tw Cen MT"/>
          <w:sz w:val="20"/>
        </w:rPr>
        <w:t>Tabora, J.E. Population Balance Models for Pharmaceutical Batch Crystallization. Presented at the 20th Larson Workshop, Association for Crystallization Technology,</w:t>
      </w:r>
      <w:r w:rsidR="0010480F" w:rsidRPr="0052126E">
        <w:rPr>
          <w:rFonts w:ascii="Tw Cen MT" w:hAnsi="Tw Cen MT"/>
          <w:sz w:val="20"/>
        </w:rPr>
        <w:t xml:space="preserve"> Philadelphia, PA, October 2015</w:t>
      </w:r>
    </w:p>
    <w:p w14:paraId="4A2F76C5" w14:textId="17B8936F" w:rsidR="00DE095E" w:rsidRPr="0052126E" w:rsidRDefault="0010480F" w:rsidP="004A1CE4">
      <w:pPr>
        <w:spacing w:afterLines="40" w:after="96" w:line="264" w:lineRule="auto"/>
        <w:ind w:left="792" w:hanging="648"/>
        <w:rPr>
          <w:rFonts w:ascii="Tw Cen MT" w:hAnsi="Tw Cen MT"/>
          <w:sz w:val="20"/>
        </w:rPr>
      </w:pPr>
      <w:r w:rsidRPr="0052126E">
        <w:rPr>
          <w:rFonts w:ascii="Tw Cen MT" w:hAnsi="Tw Cen MT"/>
          <w:sz w:val="20"/>
        </w:rPr>
        <w:t>*</w:t>
      </w:r>
      <w:r w:rsidR="00DE095E" w:rsidRPr="0052126E">
        <w:rPr>
          <w:rFonts w:ascii="Tw Cen MT" w:hAnsi="Tw Cen MT"/>
          <w:sz w:val="20"/>
        </w:rPr>
        <w:t>Tabora, J.E. Quality by Design: On Modeling in Biologics DP Development. Presented at the AAPS Annual Meetin</w:t>
      </w:r>
      <w:r w:rsidRPr="0052126E">
        <w:rPr>
          <w:rFonts w:ascii="Tw Cen MT" w:hAnsi="Tw Cen MT"/>
          <w:sz w:val="20"/>
        </w:rPr>
        <w:t>g, San Francisco, CA, June 2015</w:t>
      </w:r>
    </w:p>
    <w:p w14:paraId="4A2F76C6" w14:textId="0060125E" w:rsidR="00DE095E" w:rsidRDefault="00DE095E" w:rsidP="004A1CE4">
      <w:pPr>
        <w:spacing w:afterLines="40" w:after="96" w:line="264" w:lineRule="auto"/>
        <w:ind w:left="792" w:hanging="648"/>
        <w:rPr>
          <w:rFonts w:ascii="Tw Cen MT" w:hAnsi="Tw Cen MT"/>
          <w:sz w:val="20"/>
        </w:rPr>
      </w:pPr>
      <w:r w:rsidRPr="0052126E">
        <w:rPr>
          <w:rFonts w:ascii="Tw Cen MT" w:hAnsi="Tw Cen MT"/>
          <w:sz w:val="20"/>
        </w:rPr>
        <w:t>Tabora, J.E.; Domagalski</w:t>
      </w:r>
      <w:r w:rsidRPr="00881647">
        <w:rPr>
          <w:rFonts w:ascii="Tw Cen MT" w:hAnsi="Tw Cen MT"/>
          <w:sz w:val="20"/>
        </w:rPr>
        <w:t>, N.; Albrecht, J.; Behling, R.; Li, J.; Sentveld, G.; Crison, J.R.; Walsh, J. Estimation of Manufacturing Process Capability. Presented at the AIChE Annual Meeting, Atlanta, GA, November 2014</w:t>
      </w:r>
    </w:p>
    <w:p w14:paraId="67A5B884" w14:textId="055A31C2"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N. Domagalski, “Population Balance Models in Crystallization” Process Systems Engineering Consortium annual meeting, Amherst. MA, July 2014</w:t>
      </w:r>
    </w:p>
    <w:p w14:paraId="5BA49A3C" w14:textId="04FD377C"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lastRenderedPageBreak/>
        <w:t>Tabora, J.E., B. Cohen, A. Ramirez, R. Xiong, and S. Sandler “ab initio Prediction of Thermodynamic Equilibria of pharmaceutically relevant solutes in organic solvents: an application of COSMO-SAC formalism, American Institute of Chemical Engineers Annual Meeting, San Francisco, CA November 2013</w:t>
      </w:r>
    </w:p>
    <w:p w14:paraId="54BDDA6B" w14:textId="7FF25957"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N. Domagalski, Paige Boehmcke, “Control of a Hygroscopic Anhydrous Drug Substance”, American Institute of Chemical Engineers Annual Meeting, San Francisco, CA November 2013</w:t>
      </w:r>
    </w:p>
    <w:p w14:paraId="19EEDC5E" w14:textId="16FCFF0B"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“Case Studies Involving Mechanistic and Empirical Models Used to Define Design Space Ranges and Corresponding Large Scale Verification”, American Institute of Chemical Engineers Annual Meeting, Philadelphia, PA November 2012</w:t>
      </w:r>
    </w:p>
    <w:p w14:paraId="7B88B133" w14:textId="2AD0AD53"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A. Braem, “Overview of Drug Substance Quality by Design Development at Bristol-Myers Squibb”, American Institute of Chemical Engineers Annual Meeting, Philadelphia, PA November 2012</w:t>
      </w:r>
    </w:p>
    <w:p w14:paraId="706AEDDB" w14:textId="7031A7D7"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Engineering Approaches to Increase Efficiency in Pharmaceutical Process Development. 2011 Asymchem Fall Symposium, Tianjin, China October 2011</w:t>
      </w:r>
    </w:p>
    <w:p w14:paraId="5133CF30" w14:textId="07513424"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QbD in the Pharmaceutical Industry, The role of Data Visualization. Process System Engineering Consortium, Amherst MA May 2011</w:t>
      </w:r>
    </w:p>
    <w:p w14:paraId="4BA03C2E" w14:textId="2078AD98"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F. Ricci, J. Vernille, J. Albrecht, A. Rogers,  E. Rubin, V. Rosso, and J. Bergum; Genetic Algorithms: Applications in Pharmaceutical Process R&amp;D. American Institute of Chemical Engineers Annual Meeting, Salt Lake City, Utah November 2010</w:t>
      </w:r>
    </w:p>
    <w:p w14:paraId="39B0C8DB" w14:textId="66856F7A"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J. Bergum, J. Burt, T. Rosner, S. Tummala, Y. Xiao, ”Models and Data Visualization in Process Development” Process Systems Engineering Consortium Meeting, Santa Barbara, CA., June 2009</w:t>
      </w:r>
    </w:p>
    <w:p w14:paraId="4E164875" w14:textId="6BF0E058" w:rsidR="0052126E" w:rsidRPr="0052126E" w:rsidRDefault="0052126E" w:rsidP="0052126E">
      <w:pPr>
        <w:spacing w:afterLines="40" w:after="96" w:line="264" w:lineRule="auto"/>
        <w:ind w:left="792" w:hanging="648"/>
        <w:rPr>
          <w:rFonts w:ascii="Tw Cen MT" w:hAnsi="Tw Cen MT"/>
          <w:sz w:val="20"/>
          <w:lang w:val="es-AR"/>
        </w:rPr>
      </w:pPr>
      <w:r w:rsidRPr="0052126E">
        <w:rPr>
          <w:rFonts w:ascii="Tw Cen MT" w:hAnsi="Tw Cen MT"/>
          <w:sz w:val="20"/>
        </w:rPr>
        <w:t>Tabora, J.E.</w:t>
      </w:r>
      <w:r w:rsidRPr="0052126E">
        <w:rPr>
          <w:rFonts w:ascii="Tw Cen MT" w:hAnsi="Tw Cen MT"/>
          <w:sz w:val="20"/>
          <w:lang w:val="es-AR"/>
        </w:rPr>
        <w:t>. “Fluid Phase Equilibria”, II Congreso Cientifico, Universidad Nacional Autonoma Honduras, October 31, 2008.</w:t>
      </w:r>
    </w:p>
    <w:p w14:paraId="47E6949C" w14:textId="072653FC" w:rsidR="0052126E" w:rsidRPr="0052126E" w:rsidRDefault="0052126E" w:rsidP="0052126E">
      <w:pPr>
        <w:spacing w:afterLines="40" w:after="96" w:line="264" w:lineRule="auto"/>
        <w:ind w:left="792" w:hanging="648"/>
        <w:rPr>
          <w:rFonts w:ascii="Tw Cen MT" w:hAnsi="Tw Cen MT"/>
          <w:sz w:val="20"/>
          <w:lang w:val="es-AR"/>
        </w:rPr>
      </w:pPr>
      <w:r w:rsidRPr="0052126E">
        <w:rPr>
          <w:rFonts w:ascii="Tw Cen MT" w:hAnsi="Tw Cen MT"/>
          <w:sz w:val="20"/>
        </w:rPr>
        <w:t>Tabora, J.E.</w:t>
      </w:r>
      <w:r w:rsidRPr="0052126E">
        <w:rPr>
          <w:rFonts w:ascii="Tw Cen MT" w:hAnsi="Tw Cen MT"/>
          <w:sz w:val="20"/>
          <w:lang w:val="es-ES_tradnl"/>
        </w:rPr>
        <w:t>,</w:t>
      </w:r>
      <w:r w:rsidRPr="0052126E">
        <w:rPr>
          <w:rFonts w:ascii="Tw Cen MT" w:hAnsi="Tw Cen MT"/>
          <w:sz w:val="20"/>
          <w:lang w:val="es-AR"/>
        </w:rPr>
        <w:t xml:space="preserve"> Fitzgerald, M., “Data Visualization” II Congreso, Cientifico Universidad Nacional Autonoma Honduras, October 31, 2008.</w:t>
      </w:r>
    </w:p>
    <w:p w14:paraId="73DFF1EC" w14:textId="51EC2103"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J. Defreese, P. Deshpande, and J. Tom; “Data Exploration Analysis In Process Development: Application to API Characterization”, American Institute of Chemical Engineers Annual Meeting, Philadelphia, PA November 2008</w:t>
      </w:r>
    </w:p>
    <w:p w14:paraId="546FEA4C" w14:textId="2E40DEF0"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C. C. Chen; Solubility Modelling from High Throughput Solvent Screening. American Institute of Chemical Engineers Annual Meeting, Salt Lake City, Utah November 2007</w:t>
      </w:r>
    </w:p>
    <w:p w14:paraId="647C3807" w14:textId="0CD2F0B3"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J. Corry, R. Osifchin, J. Lepore, and S. Sanders; Chiral Purification of Pharmaceutical Intermediates via Crystallization. International Conference on the Chemistry of the Organic Solid State 7th International Conference, Los Angeles, California July 2005</w:t>
      </w:r>
    </w:p>
    <w:p w14:paraId="66CC51FD" w14:textId="33989FC0"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H. H. Tung, and D. E. Bakken; Solubility prediction and the design of crystallization processes Aspenworld 2004 Conference, Orlando, Florida  October 2004</w:t>
      </w:r>
    </w:p>
    <w:p w14:paraId="47724CC6" w14:textId="78282B9E"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R. Osifchin, J. Corry and J. Lepore, Identification and Characterization of an Anomalous Racemate ACS Annual Meeting, New Orleans, Louisiana April 2003</w:t>
      </w:r>
    </w:p>
    <w:p w14:paraId="06F8170F" w14:textId="7EC95D81" w:rsidR="0052126E" w:rsidRPr="0052126E" w:rsidRDefault="0052126E" w:rsidP="0052126E">
      <w:pPr>
        <w:spacing w:afterLines="40" w:after="96" w:line="264" w:lineRule="auto"/>
        <w:ind w:left="792" w:hanging="648"/>
        <w:rPr>
          <w:rFonts w:ascii="Tw Cen MT" w:hAnsi="Tw Cen MT"/>
          <w:sz w:val="20"/>
        </w:rPr>
      </w:pPr>
      <w:r w:rsidRPr="0052126E">
        <w:rPr>
          <w:rFonts w:ascii="Tw Cen MT" w:hAnsi="Tw Cen MT"/>
          <w:sz w:val="20"/>
        </w:rPr>
        <w:t>Tabora, J.E. and R. J. Davis, Structure of Fe, Mn-Promoted Sulfated Zirconia Catalyst by X-Ray and IR Adsorption Spectroscopies, The 209th ACS National Meeting, Anaheim California, April 1995</w:t>
      </w:r>
    </w:p>
    <w:p w14:paraId="00AD61CA" w14:textId="77777777" w:rsidR="0052126E" w:rsidRPr="00881647" w:rsidRDefault="0052126E" w:rsidP="004A1CE4">
      <w:pPr>
        <w:spacing w:afterLines="40" w:after="96" w:line="264" w:lineRule="auto"/>
        <w:ind w:left="792" w:hanging="648"/>
        <w:rPr>
          <w:rFonts w:ascii="Tw Cen MT" w:hAnsi="Tw Cen MT"/>
          <w:sz w:val="20"/>
        </w:rPr>
      </w:pPr>
    </w:p>
    <w:p w14:paraId="4F78CEDC" w14:textId="52B755AB" w:rsidR="005E7D0B" w:rsidRDefault="005E7D0B" w:rsidP="00B75FA7">
      <w:pPr>
        <w:spacing w:afterLines="40" w:after="96"/>
        <w:rPr>
          <w:rFonts w:ascii="Tw Cen MT" w:hAnsi="Tw Cen MT"/>
          <w:i/>
          <w:sz w:val="20"/>
          <w:u w:val="single"/>
        </w:rPr>
      </w:pPr>
    </w:p>
    <w:p w14:paraId="4A2F76C7" w14:textId="0E7F8362" w:rsidR="00403E7F" w:rsidRPr="00881647" w:rsidRDefault="00403E7F" w:rsidP="004A1CE4">
      <w:pPr>
        <w:spacing w:afterLines="40" w:after="96"/>
        <w:jc w:val="center"/>
        <w:rPr>
          <w:rFonts w:ascii="Tw Cen MT" w:hAnsi="Tw Cen MT"/>
          <w:i/>
          <w:sz w:val="20"/>
          <w:u w:val="single"/>
        </w:rPr>
      </w:pPr>
      <w:r w:rsidRPr="00881647">
        <w:rPr>
          <w:rFonts w:ascii="Tw Cen MT" w:hAnsi="Tw Cen MT"/>
          <w:i/>
          <w:sz w:val="20"/>
          <w:u w:val="single"/>
        </w:rPr>
        <w:t>Book Chapters</w:t>
      </w:r>
    </w:p>
    <w:p w14:paraId="633F440A" w14:textId="276C56A5" w:rsidR="005E7D0B" w:rsidRPr="0052126E" w:rsidRDefault="005E7D0B" w:rsidP="004A1CE4">
      <w:pPr>
        <w:spacing w:afterLines="40" w:after="96"/>
        <w:rPr>
          <w:rFonts w:ascii="Tw Cen MT" w:hAnsi="Tw Cen MT"/>
          <w:sz w:val="20"/>
        </w:rPr>
      </w:pPr>
      <w:r w:rsidRPr="0052126E">
        <w:rPr>
          <w:rFonts w:ascii="Tw Cen MT" w:hAnsi="Tw Cen MT"/>
          <w:sz w:val="20"/>
        </w:rPr>
        <w:t>Tabora, J.E., Lovette, M., Brueggemeier, S., Sweeney, J. Introduction to Chiral Crystallization in Pharmaceutical Development and Manufacturing.  Chemical Engineering in the Pharmaceutical Industry: R&amp;D to Manufacturing. 2nd Edition, Ed. D. J. am Ende, Wiley and Sons, Hoboken NJ 2019</w:t>
      </w:r>
    </w:p>
    <w:p w14:paraId="4A2F76C9" w14:textId="35DF86E7" w:rsidR="00483D5C" w:rsidRPr="0052126E" w:rsidRDefault="005E7D0B" w:rsidP="004A1CE4">
      <w:pPr>
        <w:spacing w:afterLines="40" w:after="96"/>
        <w:rPr>
          <w:rFonts w:ascii="Tw Cen MT" w:hAnsi="Tw Cen MT"/>
          <w:sz w:val="20"/>
        </w:rPr>
      </w:pPr>
      <w:r w:rsidRPr="0052126E">
        <w:rPr>
          <w:rFonts w:ascii="Tw Cen MT" w:hAnsi="Tw Cen MT"/>
          <w:sz w:val="20"/>
        </w:rPr>
        <w:t>Tabora, J.E., Albrecht, J., Mack, B. Probabilistic Models for Forecasting Process Robustness. Chemical Engineering in the Pharmaceutical Industry: R&amp;D to Manufacturing. 2nd Edition, Ed. D. J. am Ende, Wiley and Sons, Hoboken NJ 2019</w:t>
      </w:r>
    </w:p>
    <w:p w14:paraId="6F3DE051" w14:textId="2FD1FA11" w:rsidR="005E7D0B" w:rsidRPr="0052126E" w:rsidRDefault="005E7D0B" w:rsidP="004A1CE4">
      <w:pPr>
        <w:spacing w:afterLines="40" w:after="96"/>
        <w:rPr>
          <w:rFonts w:ascii="Tw Cen MT" w:hAnsi="Tw Cen MT"/>
          <w:sz w:val="20"/>
        </w:rPr>
      </w:pPr>
      <w:r w:rsidRPr="0052126E">
        <w:rPr>
          <w:rFonts w:ascii="Tw Cen MT" w:hAnsi="Tw Cen MT"/>
          <w:sz w:val="20"/>
        </w:rPr>
        <w:t>Murugesan, S. Sharma, P. K.</w:t>
      </w:r>
      <w:r w:rsidR="0010480F" w:rsidRPr="0052126E">
        <w:rPr>
          <w:rFonts w:ascii="Tw Cen MT" w:hAnsi="Tw Cen MT"/>
          <w:sz w:val="20"/>
        </w:rPr>
        <w:t xml:space="preserve"> </w:t>
      </w:r>
      <w:r w:rsidRPr="0052126E">
        <w:rPr>
          <w:rFonts w:ascii="Tw Cen MT" w:hAnsi="Tw Cen MT"/>
          <w:sz w:val="20"/>
        </w:rPr>
        <w:t>and Tabora, J.E. Design of Filtration and Drying Operations. In Chemical Engineering in the Pharmaceutical Industry: R&amp;D to Manufacturing. Ed. D. J. am Ende, Wiley and Sons, Hoboken NJ 2010</w:t>
      </w:r>
    </w:p>
    <w:p w14:paraId="5B471952" w14:textId="77777777" w:rsidR="005E7D0B" w:rsidRPr="00881647" w:rsidRDefault="005E7D0B" w:rsidP="005E7D0B">
      <w:pPr>
        <w:rPr>
          <w:rFonts w:ascii="Tw Cen MT" w:hAnsi="Tw Cen MT"/>
        </w:rPr>
      </w:pPr>
    </w:p>
    <w:sectPr w:rsidR="005E7D0B" w:rsidRPr="00881647" w:rsidSect="00A720BF">
      <w:headerReference w:type="default" r:id="rId12"/>
      <w:footerReference w:type="even" r:id="rId13"/>
      <w:footnotePr>
        <w:numRestart w:val="eachPage"/>
      </w:footnotePr>
      <w:pgSz w:w="12240" w:h="15840"/>
      <w:pgMar w:top="864" w:right="1080" w:bottom="864" w:left="1080" w:header="720" w:footer="720" w:gutter="0"/>
      <w:pgNumType w:start="1"/>
      <w:cols w:space="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C17BB" w14:textId="77777777" w:rsidR="007F2D45" w:rsidRDefault="007F2D45">
      <w:pPr>
        <w:spacing w:after="0" w:line="240" w:lineRule="auto"/>
      </w:pPr>
      <w:r>
        <w:separator/>
      </w:r>
    </w:p>
  </w:endnote>
  <w:endnote w:type="continuationSeparator" w:id="0">
    <w:p w14:paraId="1ACCF73C" w14:textId="77777777" w:rsidR="007F2D45" w:rsidRDefault="007F2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F76D1" w14:textId="77777777" w:rsidR="00DC0FB1" w:rsidRDefault="008A4CEC" w:rsidP="00BC553A">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14:paraId="4A2F76D2" w14:textId="77777777" w:rsidR="00DC0FB1" w:rsidRDefault="00000000" w:rsidP="00BC55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BDB0B" w14:textId="77777777" w:rsidR="007F2D45" w:rsidRDefault="007F2D45">
      <w:pPr>
        <w:spacing w:after="0" w:line="240" w:lineRule="auto"/>
      </w:pPr>
      <w:r>
        <w:separator/>
      </w:r>
    </w:p>
  </w:footnote>
  <w:footnote w:type="continuationSeparator" w:id="0">
    <w:p w14:paraId="50B591D9" w14:textId="77777777" w:rsidR="007F2D45" w:rsidRDefault="007F2D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F76CE" w14:textId="77777777" w:rsidR="00DC0FB1" w:rsidRPr="0033527E" w:rsidRDefault="008A4CEC" w:rsidP="0033527E">
    <w:pPr>
      <w:shd w:val="clear" w:color="auto" w:fill="EEECE1"/>
      <w:jc w:val="center"/>
      <w:rPr>
        <w:rFonts w:ascii="Franklin Gothic Medium" w:hAnsi="Franklin Gothic Medium"/>
        <w:b/>
        <w:caps/>
        <w:sz w:val="32"/>
        <w:szCs w:val="32"/>
      </w:rPr>
    </w:pPr>
    <w:r w:rsidRPr="0033527E">
      <w:rPr>
        <w:rFonts w:ascii="Franklin Gothic Medium" w:hAnsi="Franklin Gothic Medium"/>
        <w:b/>
        <w:caps/>
        <w:sz w:val="32"/>
        <w:szCs w:val="32"/>
      </w:rPr>
      <w:t>Jose E. Tabora</w:t>
    </w:r>
  </w:p>
  <w:p w14:paraId="4A2F76CF" w14:textId="6D76203B" w:rsidR="00DC0FB1" w:rsidRPr="00125EC9" w:rsidRDefault="008A4CEC" w:rsidP="0033527E">
    <w:pPr>
      <w:jc w:val="center"/>
      <w:rPr>
        <w:rFonts w:ascii="Franklin Gothic Medium" w:hAnsi="Franklin Gothic Medium"/>
        <w:sz w:val="20"/>
      </w:rPr>
    </w:pPr>
    <w:r>
      <w:rPr>
        <w:rFonts w:ascii="Franklin Gothic Medium" w:hAnsi="Franklin Gothic Medium"/>
        <w:sz w:val="20"/>
      </w:rPr>
      <w:t xml:space="preserve">Page </w:t>
    </w:r>
    <w:r w:rsidRPr="00A720BF">
      <w:rPr>
        <w:rFonts w:ascii="Franklin Gothic Medium" w:hAnsi="Franklin Gothic Medium"/>
        <w:sz w:val="20"/>
      </w:rPr>
      <w:fldChar w:fldCharType="begin"/>
    </w:r>
    <w:r w:rsidRPr="00A720BF">
      <w:rPr>
        <w:rFonts w:ascii="Franklin Gothic Medium" w:hAnsi="Franklin Gothic Medium"/>
        <w:sz w:val="20"/>
      </w:rPr>
      <w:instrText xml:space="preserve"> PAGE   \* MERGEFORMAT </w:instrText>
    </w:r>
    <w:r w:rsidRPr="00A720BF">
      <w:rPr>
        <w:rFonts w:ascii="Franklin Gothic Medium" w:hAnsi="Franklin Gothic Medium"/>
        <w:sz w:val="20"/>
      </w:rPr>
      <w:fldChar w:fldCharType="separate"/>
    </w:r>
    <w:r w:rsidR="00B75FA7">
      <w:rPr>
        <w:rFonts w:ascii="Franklin Gothic Medium" w:hAnsi="Franklin Gothic Medium"/>
        <w:noProof/>
        <w:sz w:val="20"/>
      </w:rPr>
      <w:t>3</w:t>
    </w:r>
    <w:r w:rsidRPr="00A720BF">
      <w:rPr>
        <w:rFonts w:ascii="Franklin Gothic Medium" w:hAnsi="Franklin Gothic Medium"/>
        <w:sz w:val="20"/>
      </w:rPr>
      <w:fldChar w:fldCharType="end"/>
    </w:r>
    <w:r>
      <w:rPr>
        <w:rFonts w:ascii="Franklin Gothic Medium" w:hAnsi="Franklin Gothic Medium"/>
        <w:sz w:val="20"/>
      </w:rPr>
      <w:t xml:space="preserve"> | </w:t>
    </w:r>
    <w:r w:rsidRPr="00125EC9">
      <w:rPr>
        <w:rFonts w:ascii="Franklin Gothic Medium" w:hAnsi="Franklin Gothic Medium"/>
        <w:sz w:val="20"/>
      </w:rPr>
      <w:t xml:space="preserve">845-793-0220 | </w:t>
    </w:r>
    <w:hyperlink r:id="rId1" w:history="1">
      <w:r w:rsidRPr="00B80089">
        <w:rPr>
          <w:rStyle w:val="Hyperlink"/>
          <w:rFonts w:ascii="Franklin Gothic Medium" w:hAnsi="Franklin Gothic Medium"/>
          <w:sz w:val="20"/>
        </w:rPr>
        <w:t>jose.tabora@bms.com</w:t>
      </w:r>
    </w:hyperlink>
  </w:p>
  <w:p w14:paraId="4A2F76D0" w14:textId="77777777" w:rsidR="00DC0FB1" w:rsidRPr="0033527E" w:rsidRDefault="00000000" w:rsidP="0033527E">
    <w:pPr>
      <w:pBdr>
        <w:top w:val="single" w:sz="4" w:space="3" w:color="auto"/>
      </w:pBdr>
      <w:rPr>
        <w:rFonts w:ascii="Franklin Gothic Medium" w:hAnsi="Franklin Gothic Medium"/>
        <w:caps/>
        <w:color w:val="4A442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B87895"/>
    <w:multiLevelType w:val="hybridMultilevel"/>
    <w:tmpl w:val="8E865612"/>
    <w:lvl w:ilvl="0" w:tplc="73A8614A">
      <w:numFmt w:val="bullet"/>
      <w:lvlText w:val="•"/>
      <w:lvlJc w:val="left"/>
      <w:pPr>
        <w:ind w:left="360" w:hanging="216"/>
      </w:pPr>
      <w:rPr>
        <w:rFonts w:ascii="Times" w:eastAsia="Times New Roman" w:hAns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717BAE"/>
    <w:multiLevelType w:val="hybridMultilevel"/>
    <w:tmpl w:val="471A2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8869001">
    <w:abstractNumId w:val="0"/>
  </w:num>
  <w:num w:numId="2" w16cid:durableId="2139449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D61"/>
    <w:rsid w:val="00001C35"/>
    <w:rsid w:val="00015F2C"/>
    <w:rsid w:val="0005079E"/>
    <w:rsid w:val="000C27BC"/>
    <w:rsid w:val="000E63F5"/>
    <w:rsid w:val="0010480F"/>
    <w:rsid w:val="001E78BB"/>
    <w:rsid w:val="001F1E1E"/>
    <w:rsid w:val="00273B69"/>
    <w:rsid w:val="00280863"/>
    <w:rsid w:val="002C15FA"/>
    <w:rsid w:val="00340C4E"/>
    <w:rsid w:val="003A0632"/>
    <w:rsid w:val="003C61CC"/>
    <w:rsid w:val="003E5175"/>
    <w:rsid w:val="00403E7F"/>
    <w:rsid w:val="00441D61"/>
    <w:rsid w:val="004478F3"/>
    <w:rsid w:val="004A1CE4"/>
    <w:rsid w:val="004B4C93"/>
    <w:rsid w:val="004B6365"/>
    <w:rsid w:val="004C22D8"/>
    <w:rsid w:val="0052126E"/>
    <w:rsid w:val="005E7D0B"/>
    <w:rsid w:val="00665D6E"/>
    <w:rsid w:val="00692752"/>
    <w:rsid w:val="00714630"/>
    <w:rsid w:val="00772740"/>
    <w:rsid w:val="00787588"/>
    <w:rsid w:val="007B014C"/>
    <w:rsid w:val="007C57FE"/>
    <w:rsid w:val="007F2D45"/>
    <w:rsid w:val="0082004F"/>
    <w:rsid w:val="00852820"/>
    <w:rsid w:val="00861F76"/>
    <w:rsid w:val="00881647"/>
    <w:rsid w:val="008A4CEC"/>
    <w:rsid w:val="008E7700"/>
    <w:rsid w:val="009E0A82"/>
    <w:rsid w:val="00A039B1"/>
    <w:rsid w:val="00B2430D"/>
    <w:rsid w:val="00B56786"/>
    <w:rsid w:val="00B75FA7"/>
    <w:rsid w:val="00B95895"/>
    <w:rsid w:val="00BA79AB"/>
    <w:rsid w:val="00BD39F9"/>
    <w:rsid w:val="00BE0F8D"/>
    <w:rsid w:val="00C14519"/>
    <w:rsid w:val="00C606D0"/>
    <w:rsid w:val="00C606EA"/>
    <w:rsid w:val="00CA2F14"/>
    <w:rsid w:val="00CB6161"/>
    <w:rsid w:val="00D3304A"/>
    <w:rsid w:val="00DE095E"/>
    <w:rsid w:val="00E0583F"/>
    <w:rsid w:val="00F00744"/>
    <w:rsid w:val="00F83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F766E"/>
  <w15:chartTrackingRefBased/>
  <w15:docId w15:val="{3FCD219C-354D-435E-BF05-C52656855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E095E"/>
    <w:pPr>
      <w:tabs>
        <w:tab w:val="left" w:pos="360"/>
        <w:tab w:val="left" w:pos="648"/>
        <w:tab w:val="left" w:pos="936"/>
        <w:tab w:val="center" w:pos="4320"/>
        <w:tab w:val="center" w:pos="5040"/>
        <w:tab w:val="right" w:pos="8640"/>
        <w:tab w:val="right" w:pos="10080"/>
      </w:tabs>
      <w:spacing w:after="0" w:line="240" w:lineRule="auto"/>
    </w:pPr>
    <w:rPr>
      <w:rFonts w:ascii="Franklin Gothic Book" w:eastAsia="Times New Roman" w:hAnsi="Franklin Gothic Book" w:cs="Times New Roman"/>
      <w:noProof/>
    </w:rPr>
  </w:style>
  <w:style w:type="character" w:customStyle="1" w:styleId="FooterChar">
    <w:name w:val="Footer Char"/>
    <w:basedOn w:val="DefaultParagraphFont"/>
    <w:link w:val="Footer"/>
    <w:rsid w:val="00DE095E"/>
    <w:rPr>
      <w:rFonts w:ascii="Franklin Gothic Book" w:eastAsia="Times New Roman" w:hAnsi="Franklin Gothic Book" w:cs="Times New Roman"/>
      <w:noProof/>
    </w:rPr>
  </w:style>
  <w:style w:type="character" w:styleId="PageNumber">
    <w:name w:val="page number"/>
    <w:basedOn w:val="DefaultParagraphFont"/>
    <w:rsid w:val="00DE095E"/>
  </w:style>
  <w:style w:type="character" w:styleId="Hyperlink">
    <w:name w:val="Hyperlink"/>
    <w:rsid w:val="00DE095E"/>
    <w:rPr>
      <w:color w:val="0000FF"/>
      <w:u w:val="single"/>
    </w:rPr>
  </w:style>
  <w:style w:type="character" w:styleId="CommentReference">
    <w:name w:val="annotation reference"/>
    <w:semiHidden/>
    <w:unhideWhenUsed/>
    <w:rsid w:val="00DE095E"/>
    <w:rPr>
      <w:sz w:val="16"/>
      <w:szCs w:val="16"/>
    </w:rPr>
  </w:style>
  <w:style w:type="paragraph" w:styleId="CommentText">
    <w:name w:val="annotation text"/>
    <w:basedOn w:val="Normal"/>
    <w:link w:val="CommentTextChar"/>
    <w:semiHidden/>
    <w:unhideWhenUsed/>
    <w:rsid w:val="00DE095E"/>
    <w:pPr>
      <w:tabs>
        <w:tab w:val="left" w:pos="360"/>
        <w:tab w:val="left" w:pos="648"/>
        <w:tab w:val="left" w:pos="936"/>
        <w:tab w:val="center" w:pos="5040"/>
        <w:tab w:val="right" w:pos="10080"/>
      </w:tabs>
      <w:spacing w:after="0" w:line="240" w:lineRule="auto"/>
    </w:pPr>
    <w:rPr>
      <w:rFonts w:ascii="Franklin Gothic Book" w:eastAsia="Times New Roman" w:hAnsi="Franklin Gothic Book" w:cs="Times New Roman"/>
      <w:noProof/>
      <w:sz w:val="20"/>
      <w:szCs w:val="20"/>
    </w:rPr>
  </w:style>
  <w:style w:type="character" w:customStyle="1" w:styleId="CommentTextChar">
    <w:name w:val="Comment Text Char"/>
    <w:basedOn w:val="DefaultParagraphFont"/>
    <w:link w:val="CommentText"/>
    <w:semiHidden/>
    <w:rsid w:val="00DE095E"/>
    <w:rPr>
      <w:rFonts w:ascii="Franklin Gothic Book" w:eastAsia="Times New Roman" w:hAnsi="Franklin Gothic Book" w:cs="Times New Roman"/>
      <w:noProof/>
      <w:sz w:val="20"/>
      <w:szCs w:val="20"/>
    </w:rPr>
  </w:style>
  <w:style w:type="paragraph" w:styleId="BalloonText">
    <w:name w:val="Balloon Text"/>
    <w:basedOn w:val="Normal"/>
    <w:link w:val="BalloonTextChar"/>
    <w:uiPriority w:val="99"/>
    <w:semiHidden/>
    <w:unhideWhenUsed/>
    <w:rsid w:val="00DE09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095E"/>
    <w:rPr>
      <w:rFonts w:ascii="Segoe UI" w:hAnsi="Segoe UI" w:cs="Segoe UI"/>
      <w:sz w:val="18"/>
      <w:szCs w:val="18"/>
    </w:rPr>
  </w:style>
  <w:style w:type="paragraph" w:styleId="ListParagraph">
    <w:name w:val="List Paragraph"/>
    <w:basedOn w:val="Normal"/>
    <w:uiPriority w:val="34"/>
    <w:qFormat/>
    <w:rsid w:val="00F83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262766">
      <w:bodyDiv w:val="1"/>
      <w:marLeft w:val="0"/>
      <w:marRight w:val="0"/>
      <w:marTop w:val="0"/>
      <w:marBottom w:val="0"/>
      <w:divBdr>
        <w:top w:val="none" w:sz="0" w:space="0" w:color="auto"/>
        <w:left w:val="none" w:sz="0" w:space="0" w:color="auto"/>
        <w:bottom w:val="none" w:sz="0" w:space="0" w:color="auto"/>
        <w:right w:val="none" w:sz="0" w:space="0" w:color="auto"/>
      </w:divBdr>
    </w:div>
    <w:div w:id="110634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ntnu.no/users/skoge/prost/proceedings/adchem-2012/files/0204.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je.tabor@gmai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mailto:jose.tabora@bm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8244AD7F81A74BB1F6BE7CC90FA8E8" ma:contentTypeVersion="13" ma:contentTypeDescription="Create a new document." ma:contentTypeScope="" ma:versionID="97f7f033f220c05c9ab0c576dfd0a396">
  <xsd:schema xmlns:xsd="http://www.w3.org/2001/XMLSchema" xmlns:xs="http://www.w3.org/2001/XMLSchema" xmlns:p="http://schemas.microsoft.com/office/2006/metadata/properties" xmlns:ns3="a404bc0d-6635-4632-b9f4-ce7643015644" xmlns:ns4="7e084402-7dce-43c9-86cb-e5c53132b20e" targetNamespace="http://schemas.microsoft.com/office/2006/metadata/properties" ma:root="true" ma:fieldsID="9dfbc38e1123c5cdd9a5df443ff1790d" ns3:_="" ns4:_="">
    <xsd:import namespace="a404bc0d-6635-4632-b9f4-ce7643015644"/>
    <xsd:import namespace="7e084402-7dce-43c9-86cb-e5c53132b2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04bc0d-6635-4632-b9f4-ce764301564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084402-7dce-43c9-86cb-e5c53132b20e"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BA301F-5D45-455E-A5A6-0A7ECBA494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02067F-9A65-4178-A361-DD20B2C89062}">
  <ds:schemaRefs>
    <ds:schemaRef ds:uri="http://schemas.microsoft.com/sharepoint/v3/contenttype/forms"/>
  </ds:schemaRefs>
</ds:datastoreItem>
</file>

<file path=customXml/itemProps3.xml><?xml version="1.0" encoding="utf-8"?>
<ds:datastoreItem xmlns:ds="http://schemas.openxmlformats.org/officeDocument/2006/customXml" ds:itemID="{BAA428DE-C4E5-4B99-8678-EE141D131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04bc0d-6635-4632-b9f4-ce7643015644"/>
    <ds:schemaRef ds:uri="7e084402-7dce-43c9-86cb-e5c53132b2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3230</Words>
  <Characters>18411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Bristol-Myers Squibb Company</Company>
  <LinksUpToDate>false</LinksUpToDate>
  <CharactersWithSpaces>21598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Tabora, Jose</dc:creator>
  <cp:keywords/>
  <dc:description/>
  <cp:lastModifiedBy>Tabora, Jose</cp:lastModifiedBy>
  <cp:revision>3</cp:revision>
  <dcterms:created xsi:type="dcterms:W3CDTF">2023-02-10T19:06:00Z</dcterms:created>
  <dcterms:modified xsi:type="dcterms:W3CDTF">2023-02-10T19:09:00Z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0x010100BA8244AD7F81A74BB1F6BE7CC90FA8E8</vt:lpwstr>
  </property>
</Properties>
</file>